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652" w:rsidRDefault="00632652"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632652" w:rsidRPr="00752292" w:rsidRDefault="00632652" w:rsidP="009A4B42">
      <w:pPr>
        <w:spacing w:after="0" w:line="200" w:lineRule="exact"/>
        <w:ind w:right="38"/>
        <w:rPr>
          <w:sz w:val="20"/>
          <w:szCs w:val="20"/>
          <w:lang w:val="es-ES"/>
        </w:rPr>
      </w:pPr>
    </w:p>
    <w:p w:rsidR="00632652" w:rsidRPr="008D737F" w:rsidRDefault="00F0471F" w:rsidP="009A4B42">
      <w:pPr>
        <w:spacing w:after="0" w:line="248" w:lineRule="auto"/>
        <w:ind w:left="231" w:right="38"/>
        <w:jc w:val="center"/>
        <w:rPr>
          <w:rFonts w:ascii="Gill Sans MT" w:eastAsia="Gill Sans MT" w:hAnsi="Gill Sans MT" w:cs="Gill Sans MT"/>
          <w:sz w:val="28"/>
          <w:szCs w:val="28"/>
        </w:rPr>
      </w:pPr>
      <w:r w:rsidRPr="00F0471F">
        <w:rPr>
          <w:rFonts w:ascii="Gill Sans MT" w:eastAsia="Gill Sans MT" w:hAnsi="Gill Sans MT" w:cs="Gill Sans MT"/>
          <w:b/>
          <w:bCs/>
          <w:color w:val="231F20"/>
          <w:sz w:val="28"/>
          <w:szCs w:val="28"/>
          <w:lang w:val="es-ES"/>
        </w:rPr>
        <w:t xml:space="preserve">El enfoque por competencias en el contexto universitario español. </w:t>
      </w:r>
      <w:r w:rsidRPr="008D737F">
        <w:rPr>
          <w:rFonts w:ascii="Gill Sans MT" w:eastAsia="Gill Sans MT" w:hAnsi="Gill Sans MT" w:cs="Gill Sans MT"/>
          <w:b/>
          <w:bCs/>
          <w:color w:val="231F20"/>
          <w:sz w:val="28"/>
          <w:szCs w:val="28"/>
        </w:rPr>
        <w:t xml:space="preserve">La </w:t>
      </w:r>
      <w:proofErr w:type="spellStart"/>
      <w:r w:rsidRPr="008D737F">
        <w:rPr>
          <w:rFonts w:ascii="Gill Sans MT" w:eastAsia="Gill Sans MT" w:hAnsi="Gill Sans MT" w:cs="Gill Sans MT"/>
          <w:b/>
          <w:bCs/>
          <w:color w:val="231F20"/>
          <w:sz w:val="28"/>
          <w:szCs w:val="28"/>
        </w:rPr>
        <w:t>visión</w:t>
      </w:r>
      <w:proofErr w:type="spellEnd"/>
      <w:r w:rsidRPr="008D737F">
        <w:rPr>
          <w:rFonts w:ascii="Gill Sans MT" w:eastAsia="Gill Sans MT" w:hAnsi="Gill Sans MT" w:cs="Gill Sans MT"/>
          <w:b/>
          <w:bCs/>
          <w:color w:val="231F20"/>
          <w:sz w:val="28"/>
          <w:szCs w:val="28"/>
        </w:rPr>
        <w:t xml:space="preserve"> del </w:t>
      </w:r>
      <w:proofErr w:type="spellStart"/>
      <w:r w:rsidRPr="008D737F">
        <w:rPr>
          <w:rFonts w:ascii="Gill Sans MT" w:eastAsia="Gill Sans MT" w:hAnsi="Gill Sans MT" w:cs="Gill Sans MT"/>
          <w:b/>
          <w:bCs/>
          <w:color w:val="231F20"/>
          <w:sz w:val="28"/>
          <w:szCs w:val="28"/>
        </w:rPr>
        <w:t>profesorado</w:t>
      </w:r>
      <w:proofErr w:type="spellEnd"/>
      <w:r w:rsidR="004934D0">
        <w:rPr>
          <w:rStyle w:val="Refdenotaalpie"/>
          <w:rFonts w:ascii="Gill Sans MT" w:eastAsia="Gill Sans MT" w:hAnsi="Gill Sans MT" w:cs="Gill Sans MT"/>
          <w:b/>
          <w:bCs/>
          <w:color w:val="231F20"/>
          <w:sz w:val="28"/>
          <w:szCs w:val="28"/>
          <w:lang w:val="es-ES"/>
        </w:rPr>
        <w:footnoteReference w:id="1"/>
      </w:r>
    </w:p>
    <w:p w:rsidR="00632652" w:rsidRPr="008D737F" w:rsidRDefault="00632652" w:rsidP="009A4B42">
      <w:pPr>
        <w:spacing w:after="0" w:line="130" w:lineRule="exact"/>
        <w:ind w:right="38"/>
        <w:rPr>
          <w:sz w:val="13"/>
          <w:szCs w:val="13"/>
        </w:rPr>
      </w:pPr>
    </w:p>
    <w:p w:rsidR="00632652" w:rsidRPr="008D737F" w:rsidRDefault="00632652" w:rsidP="009A4B42">
      <w:pPr>
        <w:spacing w:after="0" w:line="200" w:lineRule="exact"/>
        <w:ind w:right="38"/>
        <w:rPr>
          <w:sz w:val="24"/>
          <w:szCs w:val="24"/>
        </w:rPr>
      </w:pPr>
    </w:p>
    <w:p w:rsidR="00E64A86" w:rsidRPr="00E64A86" w:rsidRDefault="00E64A86" w:rsidP="00E64A86">
      <w:pPr>
        <w:jc w:val="center"/>
        <w:rPr>
          <w:rFonts w:ascii="Gill Sans MT" w:hAnsi="Gill Sans MT"/>
          <w:sz w:val="28"/>
          <w:szCs w:val="28"/>
        </w:rPr>
      </w:pPr>
      <w:r w:rsidRPr="00E64A86">
        <w:rPr>
          <w:rFonts w:ascii="Gill Sans MT" w:hAnsi="Gill Sans MT"/>
          <w:sz w:val="28"/>
          <w:szCs w:val="28"/>
        </w:rPr>
        <w:t>The competency approach in the Spanish university context. The vision of the teaching staff</w:t>
      </w:r>
    </w:p>
    <w:p w:rsidR="00632652" w:rsidRPr="008D737F" w:rsidRDefault="00632652" w:rsidP="009A4B42">
      <w:pPr>
        <w:spacing w:after="0" w:line="248" w:lineRule="auto"/>
        <w:ind w:left="334" w:right="38"/>
        <w:jc w:val="center"/>
        <w:rPr>
          <w:sz w:val="11"/>
          <w:szCs w:val="11"/>
        </w:rPr>
      </w:pPr>
    </w:p>
    <w:p w:rsidR="00632652" w:rsidRPr="008D737F" w:rsidRDefault="00632652" w:rsidP="009A4B42">
      <w:pPr>
        <w:spacing w:after="0" w:line="240" w:lineRule="exact"/>
        <w:ind w:right="38"/>
        <w:rPr>
          <w:sz w:val="24"/>
          <w:szCs w:val="24"/>
        </w:rPr>
      </w:pPr>
    </w:p>
    <w:p w:rsidR="00632652" w:rsidRPr="008D737F" w:rsidRDefault="00632652" w:rsidP="009A4B42">
      <w:pPr>
        <w:spacing w:after="0" w:line="240" w:lineRule="exact"/>
        <w:ind w:right="38"/>
        <w:rPr>
          <w:sz w:val="24"/>
          <w:szCs w:val="24"/>
        </w:rPr>
      </w:pPr>
    </w:p>
    <w:p w:rsidR="00632652" w:rsidRPr="008D737F" w:rsidRDefault="00632652" w:rsidP="009A4B42">
      <w:pPr>
        <w:spacing w:after="0" w:line="240" w:lineRule="exact"/>
        <w:ind w:right="38"/>
        <w:rPr>
          <w:sz w:val="24"/>
          <w:szCs w:val="24"/>
        </w:rPr>
      </w:pPr>
    </w:p>
    <w:p w:rsidR="00734986" w:rsidRPr="00734986" w:rsidRDefault="00734986" w:rsidP="009A4B42">
      <w:pPr>
        <w:spacing w:after="0" w:line="240" w:lineRule="auto"/>
        <w:ind w:right="38"/>
        <w:jc w:val="center"/>
        <w:rPr>
          <w:rFonts w:ascii="Gill Sans MT" w:eastAsia="Gill Sans MT" w:hAnsi="Gill Sans MT" w:cs="Gill Sans MT"/>
          <w:sz w:val="20"/>
          <w:szCs w:val="20"/>
          <w:lang w:val="es-ES"/>
        </w:rPr>
      </w:pPr>
      <w:r w:rsidRPr="00734986">
        <w:rPr>
          <w:rFonts w:ascii="Gill Sans MT" w:eastAsia="Gill Sans MT" w:hAnsi="Gill Sans MT" w:cs="Gill Sans MT"/>
          <w:b/>
          <w:bCs/>
          <w:color w:val="231F20"/>
          <w:sz w:val="20"/>
          <w:szCs w:val="20"/>
          <w:lang w:val="es-ES"/>
        </w:rPr>
        <w:t>Resumen</w:t>
      </w:r>
    </w:p>
    <w:p w:rsidR="00632652" w:rsidRPr="00752292" w:rsidRDefault="00632652" w:rsidP="009A4B42">
      <w:pPr>
        <w:spacing w:after="0" w:line="240" w:lineRule="exact"/>
        <w:ind w:right="38"/>
        <w:rPr>
          <w:sz w:val="24"/>
          <w:szCs w:val="24"/>
          <w:lang w:val="es-ES"/>
        </w:rPr>
      </w:pPr>
    </w:p>
    <w:p w:rsidR="00F0471F" w:rsidRPr="00F0471F" w:rsidRDefault="00F0471F" w:rsidP="00F0471F">
      <w:pPr>
        <w:spacing w:after="0" w:line="240" w:lineRule="exact"/>
        <w:ind w:left="120" w:right="38" w:firstLine="283"/>
        <w:jc w:val="both"/>
        <w:rPr>
          <w:rFonts w:ascii="Palatino Linotype" w:eastAsia="Palatino Linotype" w:hAnsi="Palatino Linotype" w:cs="Palatino Linotype"/>
          <w:i/>
          <w:color w:val="231F20"/>
          <w:sz w:val="20"/>
          <w:szCs w:val="20"/>
          <w:lang w:val="es-ES"/>
        </w:rPr>
      </w:pPr>
      <w:r w:rsidRPr="00F0471F">
        <w:rPr>
          <w:rFonts w:ascii="Palatino Linotype" w:eastAsia="Palatino Linotype" w:hAnsi="Palatino Linotype" w:cs="Palatino Linotype"/>
          <w:i/>
          <w:color w:val="231F20"/>
          <w:sz w:val="20"/>
          <w:szCs w:val="20"/>
          <w:lang w:val="es-ES"/>
        </w:rPr>
        <w:t>La adopción del enfoque basado en competencias comporta un cambio importante desde el punto de vista pedagógico y didáctico que afecta directamente a la formación universitaria y a la práctica docente. Sin embargo los esfuerzos institucionales desplegados para favorecer los cambios estructurales han sido superiores a la atención deparada al cambio cultural y pedagógico que afecta al profesorado. Por esta razón, y con el propósito de ampliar los espacios de reflexión y valorar los progresos alcanzados en estos últimos años, hemos profundizado en las percepciones que tienen los docentes de distintas universidades españolas sobre el enfoque por competencias.</w:t>
      </w:r>
    </w:p>
    <w:p w:rsidR="00F0471F" w:rsidRDefault="00F0471F" w:rsidP="00F0471F">
      <w:pPr>
        <w:spacing w:after="0" w:line="240" w:lineRule="exact"/>
        <w:ind w:left="120" w:right="38" w:firstLine="283"/>
        <w:jc w:val="both"/>
        <w:rPr>
          <w:rFonts w:ascii="Palatino Linotype" w:eastAsia="Palatino Linotype" w:hAnsi="Palatino Linotype" w:cs="Palatino Linotype"/>
          <w:i/>
          <w:color w:val="231F20"/>
          <w:sz w:val="20"/>
          <w:szCs w:val="20"/>
          <w:lang w:val="es-ES"/>
        </w:rPr>
      </w:pPr>
      <w:r w:rsidRPr="00F0471F">
        <w:rPr>
          <w:rFonts w:ascii="Palatino Linotype" w:eastAsia="Palatino Linotype" w:hAnsi="Palatino Linotype" w:cs="Palatino Linotype"/>
          <w:i/>
          <w:color w:val="231F20"/>
          <w:sz w:val="20"/>
          <w:szCs w:val="20"/>
          <w:lang w:val="es-ES"/>
        </w:rPr>
        <w:t>El estudio, de corte cualitativo, se ha basado en grupos de discusión como técnica de recogida de datos. La información resultante de las grabaciones ha sido transcrita y categorizada siguiendo un proceso deductivo-inductivo</w:t>
      </w:r>
      <w:r w:rsidR="00657FAE">
        <w:rPr>
          <w:rFonts w:ascii="Palatino Linotype" w:eastAsia="Palatino Linotype" w:hAnsi="Palatino Linotype" w:cs="Palatino Linotype"/>
          <w:i/>
          <w:sz w:val="20"/>
          <w:szCs w:val="20"/>
          <w:lang w:val="es-ES"/>
        </w:rPr>
        <w:t xml:space="preserve">. </w:t>
      </w:r>
      <w:r w:rsidRPr="000A6B10">
        <w:rPr>
          <w:rFonts w:ascii="Palatino Linotype" w:eastAsia="Palatino Linotype" w:hAnsi="Palatino Linotype" w:cs="Palatino Linotype"/>
          <w:i/>
          <w:sz w:val="20"/>
          <w:szCs w:val="20"/>
          <w:lang w:val="es-ES"/>
        </w:rPr>
        <w:t>La</w:t>
      </w:r>
      <w:r w:rsidR="00657FAE">
        <w:rPr>
          <w:rFonts w:ascii="Palatino Linotype" w:eastAsia="Palatino Linotype" w:hAnsi="Palatino Linotype" w:cs="Palatino Linotype"/>
          <w:i/>
          <w:sz w:val="20"/>
          <w:szCs w:val="20"/>
          <w:lang w:val="es-ES"/>
        </w:rPr>
        <w:t xml:space="preserve"> </w:t>
      </w:r>
      <w:r w:rsidRPr="000A6B10">
        <w:rPr>
          <w:rFonts w:ascii="Palatino Linotype" w:eastAsia="Palatino Linotype" w:hAnsi="Palatino Linotype" w:cs="Palatino Linotype"/>
          <w:i/>
          <w:sz w:val="20"/>
          <w:szCs w:val="20"/>
          <w:lang w:val="es-ES"/>
        </w:rPr>
        <w:t xml:space="preserve">información </w:t>
      </w:r>
      <w:r w:rsidRPr="00F0471F">
        <w:rPr>
          <w:rFonts w:ascii="Palatino Linotype" w:eastAsia="Palatino Linotype" w:hAnsi="Palatino Linotype" w:cs="Palatino Linotype"/>
          <w:i/>
          <w:color w:val="231F20"/>
          <w:sz w:val="20"/>
          <w:szCs w:val="20"/>
          <w:lang w:val="es-ES"/>
        </w:rPr>
        <w:t>proporcionada ha sido estructurada en torno a 36 subcategorías, agrupadas en 5 categorías. El profesorado universitario participante subraya, como características definitorias de las competencias, su naturaleza integral y, sobre todo, su conexión con la acción y su contribución a la articulación de respuestas más adecuadas a los desafíos complejos del contexto profesional. No obstante, consideran que la incorporación exitosa de este enfoque pasa por profundizar en la actual reforma educativa, adoptar perspectivas más holísticas y atender a los aspectos culturales del cambio</w:t>
      </w:r>
    </w:p>
    <w:p w:rsidR="004E664C" w:rsidRDefault="00632652" w:rsidP="00F0471F">
      <w:pPr>
        <w:spacing w:after="0" w:line="240" w:lineRule="exact"/>
        <w:ind w:left="120" w:right="38" w:firstLine="283"/>
        <w:jc w:val="both"/>
        <w:rPr>
          <w:rFonts w:ascii="Palatino Linotype" w:eastAsia="Palatino Linotype" w:hAnsi="Palatino Linotype" w:cs="Palatino Linotype"/>
          <w:color w:val="231F20"/>
          <w:position w:val="1"/>
          <w:sz w:val="20"/>
          <w:szCs w:val="20"/>
          <w:lang w:val="es-ES"/>
        </w:rPr>
      </w:pPr>
      <w:r w:rsidRPr="000A6B10">
        <w:rPr>
          <w:rFonts w:ascii="Palatino Linotype" w:eastAsia="Palatino Linotype" w:hAnsi="Palatino Linotype" w:cs="Palatino Linotype"/>
          <w:i/>
          <w:spacing w:val="-6"/>
          <w:position w:val="1"/>
          <w:sz w:val="20"/>
          <w:szCs w:val="20"/>
          <w:lang w:val="es-ES"/>
        </w:rPr>
        <w:t>P</w:t>
      </w:r>
      <w:r w:rsidRPr="000A6B10">
        <w:rPr>
          <w:rFonts w:ascii="Palatino Linotype" w:eastAsia="Palatino Linotype" w:hAnsi="Palatino Linotype" w:cs="Palatino Linotype"/>
          <w:i/>
          <w:position w:val="1"/>
          <w:sz w:val="20"/>
          <w:szCs w:val="20"/>
          <w:lang w:val="es-ES"/>
        </w:rPr>
        <w:t>alabras</w:t>
      </w:r>
      <w:r w:rsidR="000A6B10" w:rsidRPr="000A6B10">
        <w:rPr>
          <w:rFonts w:ascii="Palatino Linotype" w:eastAsia="Palatino Linotype" w:hAnsi="Palatino Linotype" w:cs="Palatino Linotype"/>
          <w:i/>
          <w:position w:val="1"/>
          <w:sz w:val="20"/>
          <w:szCs w:val="20"/>
          <w:lang w:val="es-ES"/>
        </w:rPr>
        <w:t xml:space="preserve"> </w:t>
      </w:r>
      <w:r w:rsidRPr="000A6B10">
        <w:rPr>
          <w:rFonts w:ascii="Palatino Linotype" w:eastAsia="Palatino Linotype" w:hAnsi="Palatino Linotype" w:cs="Palatino Linotype"/>
          <w:i/>
          <w:position w:val="1"/>
          <w:sz w:val="20"/>
          <w:szCs w:val="20"/>
          <w:lang w:val="es-ES"/>
        </w:rPr>
        <w:t>cla</w:t>
      </w:r>
      <w:r w:rsidRPr="000A6B10">
        <w:rPr>
          <w:rFonts w:ascii="Palatino Linotype" w:eastAsia="Palatino Linotype" w:hAnsi="Palatino Linotype" w:cs="Palatino Linotype"/>
          <w:i/>
          <w:spacing w:val="-3"/>
          <w:position w:val="1"/>
          <w:sz w:val="20"/>
          <w:szCs w:val="20"/>
          <w:lang w:val="es-ES"/>
        </w:rPr>
        <w:t>v</w:t>
      </w:r>
      <w:r w:rsidRPr="000A6B10">
        <w:rPr>
          <w:rFonts w:ascii="Palatino Linotype" w:eastAsia="Palatino Linotype" w:hAnsi="Palatino Linotype" w:cs="Palatino Linotype"/>
          <w:i/>
          <w:position w:val="1"/>
          <w:sz w:val="20"/>
          <w:szCs w:val="20"/>
          <w:lang w:val="es-ES"/>
        </w:rPr>
        <w:t>e:</w:t>
      </w:r>
      <w:r w:rsidR="000A6B10" w:rsidRPr="000A6B10">
        <w:rPr>
          <w:rFonts w:ascii="Palatino Linotype" w:eastAsia="Palatino Linotype" w:hAnsi="Palatino Linotype" w:cs="Palatino Linotype"/>
          <w:i/>
          <w:position w:val="1"/>
          <w:sz w:val="20"/>
          <w:szCs w:val="20"/>
          <w:lang w:val="es-ES"/>
        </w:rPr>
        <w:t xml:space="preserve"> </w:t>
      </w:r>
      <w:r w:rsidR="00F0471F" w:rsidRPr="000A6B10">
        <w:rPr>
          <w:rFonts w:ascii="Palatino Linotype" w:eastAsia="Palatino Linotype" w:hAnsi="Palatino Linotype" w:cs="Palatino Linotype"/>
          <w:position w:val="1"/>
          <w:sz w:val="20"/>
          <w:szCs w:val="20"/>
          <w:lang w:val="es-ES"/>
        </w:rPr>
        <w:t>profesorado; ed</w:t>
      </w:r>
      <w:r w:rsidR="00F0471F" w:rsidRPr="00F0471F">
        <w:rPr>
          <w:rFonts w:ascii="Palatino Linotype" w:eastAsia="Palatino Linotype" w:hAnsi="Palatino Linotype" w:cs="Palatino Linotype"/>
          <w:color w:val="231F20"/>
          <w:position w:val="1"/>
          <w:sz w:val="20"/>
          <w:szCs w:val="20"/>
          <w:lang w:val="es-ES"/>
        </w:rPr>
        <w:t>ucación superior; competencias; evaluación</w:t>
      </w:r>
    </w:p>
    <w:p w:rsidR="00BB4EE0" w:rsidRPr="009171D5" w:rsidRDefault="00BB4EE0" w:rsidP="00F0471F">
      <w:pPr>
        <w:spacing w:after="0" w:line="240" w:lineRule="exact"/>
        <w:ind w:left="120" w:right="38" w:firstLine="283"/>
        <w:jc w:val="both"/>
        <w:rPr>
          <w:rFonts w:eastAsia="Gill Sans MT" w:cs="Gill Sans MT"/>
          <w:b/>
          <w:bCs/>
          <w:color w:val="231F20"/>
          <w:w w:val="99"/>
          <w:sz w:val="24"/>
          <w:szCs w:val="24"/>
          <w:lang w:val="es-ES"/>
        </w:rPr>
      </w:pPr>
    </w:p>
    <w:p w:rsidR="00677C85" w:rsidRDefault="00677C85" w:rsidP="009A4B42">
      <w:pPr>
        <w:spacing w:after="0" w:line="240" w:lineRule="auto"/>
        <w:ind w:right="38"/>
        <w:jc w:val="center"/>
        <w:rPr>
          <w:rFonts w:ascii="Gill Sans MT" w:eastAsia="Gill Sans MT" w:hAnsi="Gill Sans MT" w:cs="Gill Sans MT"/>
          <w:b/>
          <w:bCs/>
          <w:color w:val="231F20"/>
          <w:sz w:val="20"/>
          <w:szCs w:val="20"/>
          <w:lang w:val="es-ES"/>
        </w:rPr>
        <w:sectPr w:rsidR="00677C85" w:rsidSect="00470D8A">
          <w:headerReference w:type="even" r:id="rId8"/>
          <w:headerReference w:type="default" r:id="rId9"/>
          <w:footerReference w:type="even" r:id="rId10"/>
          <w:footerReference w:type="default" r:id="rId11"/>
          <w:footerReference w:type="first" r:id="rId12"/>
          <w:pgSz w:w="9639" w:h="13631" w:code="9"/>
          <w:pgMar w:top="1418" w:right="1134" w:bottom="1418" w:left="1418" w:header="720" w:footer="720" w:gutter="0"/>
          <w:cols w:space="708"/>
          <w:titlePg/>
          <w:docGrid w:linePitch="360"/>
        </w:sectPr>
      </w:pPr>
    </w:p>
    <w:p w:rsidR="00734986" w:rsidRPr="00BB6A23" w:rsidRDefault="00734986" w:rsidP="009A4B42">
      <w:pPr>
        <w:spacing w:after="0" w:line="240" w:lineRule="auto"/>
        <w:ind w:right="38"/>
        <w:jc w:val="center"/>
        <w:rPr>
          <w:rFonts w:ascii="Gill Sans MT" w:eastAsia="Gill Sans MT" w:hAnsi="Gill Sans MT" w:cs="Gill Sans MT"/>
          <w:sz w:val="20"/>
          <w:szCs w:val="20"/>
        </w:rPr>
      </w:pPr>
      <w:r w:rsidRPr="00BB6A23">
        <w:rPr>
          <w:rFonts w:ascii="Gill Sans MT" w:eastAsia="Gill Sans MT" w:hAnsi="Gill Sans MT" w:cs="Gill Sans MT"/>
          <w:b/>
          <w:bCs/>
          <w:color w:val="231F20"/>
          <w:sz w:val="20"/>
          <w:szCs w:val="20"/>
        </w:rPr>
        <w:lastRenderedPageBreak/>
        <w:t>Abstract</w:t>
      </w:r>
    </w:p>
    <w:p w:rsidR="00D14FC9" w:rsidRPr="00BB6A23" w:rsidRDefault="00D14FC9" w:rsidP="009A4B42">
      <w:pPr>
        <w:spacing w:after="0" w:line="240" w:lineRule="exact"/>
        <w:ind w:right="38"/>
        <w:rPr>
          <w:sz w:val="24"/>
          <w:szCs w:val="24"/>
        </w:rPr>
      </w:pPr>
    </w:p>
    <w:p w:rsidR="00F0471F" w:rsidRPr="00F0471F" w:rsidRDefault="00F0471F" w:rsidP="00F0471F">
      <w:pPr>
        <w:spacing w:after="0" w:line="240" w:lineRule="exact"/>
        <w:ind w:left="100" w:right="38" w:firstLine="283"/>
        <w:jc w:val="both"/>
        <w:rPr>
          <w:rFonts w:ascii="Palatino Linotype" w:eastAsia="Palatino Linotype" w:hAnsi="Palatino Linotype" w:cs="Palatino Linotype"/>
          <w:i/>
          <w:color w:val="231F20"/>
          <w:sz w:val="20"/>
          <w:szCs w:val="20"/>
        </w:rPr>
      </w:pPr>
      <w:r w:rsidRPr="00F0471F">
        <w:rPr>
          <w:rFonts w:ascii="Palatino Linotype" w:eastAsia="Palatino Linotype" w:hAnsi="Palatino Linotype" w:cs="Palatino Linotype"/>
          <w:i/>
          <w:color w:val="231F20"/>
          <w:sz w:val="20"/>
          <w:szCs w:val="20"/>
        </w:rPr>
        <w:t>The adoption of the competence-based approach means an important change from the pedagogic and didactic point of view that affects straight to university education and teaching practice.</w:t>
      </w:r>
      <w:r w:rsidR="000A6B10">
        <w:rPr>
          <w:rFonts w:ascii="Palatino Linotype" w:eastAsia="Palatino Linotype" w:hAnsi="Palatino Linotype" w:cs="Palatino Linotype"/>
          <w:i/>
          <w:color w:val="231F20"/>
          <w:sz w:val="20"/>
          <w:szCs w:val="20"/>
        </w:rPr>
        <w:t xml:space="preserve"> </w:t>
      </w:r>
      <w:r w:rsidRPr="00F0471F">
        <w:rPr>
          <w:rFonts w:ascii="Palatino Linotype" w:eastAsia="Palatino Linotype" w:hAnsi="Palatino Linotype" w:cs="Palatino Linotype"/>
          <w:i/>
          <w:color w:val="231F20"/>
          <w:sz w:val="20"/>
          <w:szCs w:val="20"/>
        </w:rPr>
        <w:t>However, there is a certain tendency to admit that the institutional efforts made to stimulate structural changes have been superior to the attention given to what those pedagogical and cultural changes means to teachers. For this reason and with the aim to spread the areas of thinking and to put in value the improvement achieved in the past years, and to make visible the complications detected, our purpose is to delve into the perceptions that docents of different Spanish universities have about the competency approach.</w:t>
      </w:r>
    </w:p>
    <w:p w:rsidR="00F0471F" w:rsidRDefault="00F0471F" w:rsidP="00F0471F">
      <w:pPr>
        <w:spacing w:after="0" w:line="240" w:lineRule="exact"/>
        <w:ind w:left="100" w:right="38" w:firstLine="283"/>
        <w:jc w:val="both"/>
        <w:rPr>
          <w:rFonts w:ascii="Palatino Linotype" w:eastAsia="Palatino Linotype" w:hAnsi="Palatino Linotype" w:cs="Palatino Linotype"/>
          <w:i/>
          <w:color w:val="231F20"/>
          <w:sz w:val="20"/>
          <w:szCs w:val="20"/>
        </w:rPr>
      </w:pPr>
      <w:r w:rsidRPr="00F0471F">
        <w:rPr>
          <w:rFonts w:ascii="Palatino Linotype" w:eastAsia="Palatino Linotype" w:hAnsi="Palatino Linotype" w:cs="Palatino Linotype"/>
          <w:i/>
          <w:color w:val="231F20"/>
          <w:sz w:val="20"/>
          <w:szCs w:val="20"/>
        </w:rPr>
        <w:t>The study, which is qualitative type, is bases on discussion groups as a data collection technique. The recorded information given has been transcribed and categorized following a deductive- inductive process. The information has been structured around 36 subcategories, grouped in 5 categories. The university professors underline, as a defining characteristic of the competencies, their integral nature, and, above all, its connection to the action and its contribution to build more accurate responses to the complex challenges of the professional context. Nevertheless, the incorporation of this technique will be successful in order to profound in the actual educative reform, to adopt more holistic perspectives and to be aware of cultural facts</w:t>
      </w:r>
    </w:p>
    <w:p w:rsidR="00D14FC9" w:rsidRPr="00F0471F" w:rsidRDefault="00D14FC9" w:rsidP="00F0471F">
      <w:pPr>
        <w:spacing w:after="0" w:line="240" w:lineRule="exact"/>
        <w:ind w:left="100" w:right="38" w:firstLine="283"/>
        <w:jc w:val="both"/>
        <w:rPr>
          <w:rFonts w:ascii="Palatino Linotype" w:eastAsia="Palatino Linotype" w:hAnsi="Palatino Linotype" w:cs="Palatino Linotype"/>
          <w:sz w:val="20"/>
          <w:szCs w:val="20"/>
        </w:rPr>
      </w:pPr>
      <w:r w:rsidRPr="00F0471F">
        <w:rPr>
          <w:rFonts w:ascii="Palatino Linotype" w:eastAsia="Palatino Linotype" w:hAnsi="Palatino Linotype" w:cs="Palatino Linotype"/>
          <w:i/>
          <w:color w:val="231F20"/>
          <w:sz w:val="20"/>
          <w:szCs w:val="20"/>
        </w:rPr>
        <w:t>Keywords:</w:t>
      </w:r>
      <w:r w:rsidR="00657FAE">
        <w:rPr>
          <w:rFonts w:ascii="Palatino Linotype" w:eastAsia="Palatino Linotype" w:hAnsi="Palatino Linotype" w:cs="Palatino Linotype"/>
          <w:i/>
          <w:color w:val="231F20"/>
          <w:sz w:val="20"/>
          <w:szCs w:val="20"/>
        </w:rPr>
        <w:t xml:space="preserve"> </w:t>
      </w:r>
      <w:r w:rsidR="00F0471F" w:rsidRPr="00F0471F">
        <w:rPr>
          <w:rFonts w:ascii="Palatino Linotype" w:eastAsia="Palatino Linotype" w:hAnsi="Palatino Linotype" w:cs="Palatino Linotype"/>
          <w:color w:val="231F20"/>
          <w:position w:val="1"/>
          <w:sz w:val="20"/>
          <w:szCs w:val="20"/>
        </w:rPr>
        <w:t>teachers; word; competency; higher education; evaluation</w:t>
      </w:r>
      <w:r w:rsidR="008261FF" w:rsidRPr="00F0471F">
        <w:rPr>
          <w:rFonts w:ascii="Palatino Linotype" w:eastAsia="Palatino Linotype" w:hAnsi="Palatino Linotype" w:cs="Palatino Linotype"/>
          <w:color w:val="231F20"/>
          <w:position w:val="1"/>
          <w:sz w:val="20"/>
          <w:szCs w:val="20"/>
        </w:rPr>
        <w:t>.</w:t>
      </w:r>
    </w:p>
    <w:p w:rsidR="00597BED" w:rsidRPr="00F0471F" w:rsidRDefault="00597BED" w:rsidP="009A4B42">
      <w:pPr>
        <w:spacing w:after="0" w:line="240" w:lineRule="exact"/>
        <w:ind w:right="38"/>
        <w:rPr>
          <w:sz w:val="24"/>
          <w:szCs w:val="24"/>
        </w:rPr>
      </w:pPr>
    </w:p>
    <w:p w:rsidR="00D14FC9" w:rsidRPr="00977EE3" w:rsidRDefault="00D14FC9" w:rsidP="003101F3">
      <w:pPr>
        <w:spacing w:after="0" w:line="240" w:lineRule="auto"/>
        <w:ind w:left="142" w:right="38"/>
        <w:jc w:val="center"/>
        <w:rPr>
          <w:rFonts w:ascii="Gill Sans MT" w:eastAsia="Gill Sans MT" w:hAnsi="Gill Sans MT" w:cs="Gill Sans MT"/>
          <w:sz w:val="20"/>
          <w:szCs w:val="20"/>
          <w:lang w:val="es-ES"/>
        </w:rPr>
      </w:pPr>
      <w:r w:rsidRPr="00977EE3">
        <w:rPr>
          <w:rFonts w:ascii="Gill Sans MT" w:eastAsia="Gill Sans MT" w:hAnsi="Gill Sans MT" w:cs="Gill Sans MT"/>
          <w:b/>
          <w:bCs/>
          <w:color w:val="231F20"/>
          <w:sz w:val="20"/>
          <w:szCs w:val="20"/>
          <w:lang w:val="es-ES"/>
        </w:rPr>
        <w:t>Int</w:t>
      </w:r>
      <w:r w:rsidRPr="00977EE3">
        <w:rPr>
          <w:rFonts w:ascii="Gill Sans MT" w:eastAsia="Gill Sans MT" w:hAnsi="Gill Sans MT" w:cs="Gill Sans MT"/>
          <w:b/>
          <w:bCs/>
          <w:color w:val="231F20"/>
          <w:spacing w:val="-5"/>
          <w:sz w:val="20"/>
          <w:szCs w:val="20"/>
          <w:lang w:val="es-ES"/>
        </w:rPr>
        <w:t>r</w:t>
      </w:r>
      <w:r w:rsidRPr="00977EE3">
        <w:rPr>
          <w:rFonts w:ascii="Gill Sans MT" w:eastAsia="Gill Sans MT" w:hAnsi="Gill Sans MT" w:cs="Gill Sans MT"/>
          <w:b/>
          <w:bCs/>
          <w:color w:val="231F20"/>
          <w:sz w:val="20"/>
          <w:szCs w:val="20"/>
          <w:lang w:val="es-ES"/>
        </w:rPr>
        <w:t>oducción</w:t>
      </w:r>
    </w:p>
    <w:p w:rsidR="00D14FC9" w:rsidRPr="00752292" w:rsidRDefault="00D14FC9" w:rsidP="009A4B42">
      <w:pPr>
        <w:spacing w:after="0" w:line="240" w:lineRule="exact"/>
        <w:ind w:right="38"/>
        <w:rPr>
          <w:sz w:val="24"/>
          <w:szCs w:val="24"/>
          <w:lang w:val="es-ES"/>
        </w:rPr>
      </w:pPr>
    </w:p>
    <w:p w:rsidR="00F0471F" w:rsidRPr="00F0471F" w:rsidRDefault="00F0471F" w:rsidP="00F0471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0471F">
        <w:rPr>
          <w:rFonts w:ascii="Palatino Linotype" w:eastAsia="Palatino Linotype" w:hAnsi="Palatino Linotype" w:cs="Palatino Linotype"/>
          <w:color w:val="231F20"/>
          <w:spacing w:val="-2"/>
          <w:sz w:val="20"/>
          <w:szCs w:val="20"/>
          <w:lang w:val="es-ES"/>
        </w:rPr>
        <w:t xml:space="preserve">En los últimos años la universidad española ha experimentado un proceso de transformación como respuesta a los compromisos adquiridos con la creación del Espacio Europeo de Educación Superior (EEES). El Proceso de Bolonia no sólo ha abierto el debate público en torno al sentido y finalidad de la institución universitaria en el siglo XXI, sino que ha invitado a redefinir su compromiso con el entorno. Convertir la universidad en motor de desarrollo económico en la era del conocimiento, mejorando su conexión con el mercado laboral y la empleabilidad de los egresados, se ha convertido en un tema recurrente de la política educativa universitaria en los últimos tiempos en el ámbito nacional e internacional (Watson, 2011; Pozo </w:t>
      </w:r>
      <w:r w:rsidR="00560AF9">
        <w:rPr>
          <w:rFonts w:ascii="Palatino Linotype" w:eastAsia="Palatino Linotype" w:hAnsi="Palatino Linotype" w:cs="Palatino Linotype"/>
          <w:color w:val="231F20"/>
          <w:spacing w:val="-2"/>
          <w:sz w:val="20"/>
          <w:szCs w:val="20"/>
          <w:lang w:val="es-ES"/>
        </w:rPr>
        <w:t>&amp;</w:t>
      </w:r>
      <w:r w:rsidRPr="00F0471F">
        <w:rPr>
          <w:rFonts w:ascii="Palatino Linotype" w:eastAsia="Palatino Linotype" w:hAnsi="Palatino Linotype" w:cs="Palatino Linotype"/>
          <w:color w:val="231F20"/>
          <w:spacing w:val="-2"/>
          <w:sz w:val="20"/>
          <w:szCs w:val="20"/>
          <w:lang w:val="es-ES"/>
        </w:rPr>
        <w:t xml:space="preserve"> Bretones, 2015). </w:t>
      </w:r>
    </w:p>
    <w:p w:rsidR="00F0471F" w:rsidRPr="00F0471F" w:rsidRDefault="00F0471F" w:rsidP="00F0471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0471F">
        <w:rPr>
          <w:rFonts w:ascii="Palatino Linotype" w:eastAsia="Palatino Linotype" w:hAnsi="Palatino Linotype" w:cs="Palatino Linotype"/>
          <w:color w:val="231F20"/>
          <w:spacing w:val="-2"/>
          <w:sz w:val="20"/>
          <w:szCs w:val="20"/>
          <w:lang w:val="es-ES"/>
        </w:rPr>
        <w:t xml:space="preserve">Las actuaciones emprendidas en el contexto español han sido numerosas y de distinta índole, pues junto a los esfuerzos para promover los cambios normativos y estructurales, necesarios para favorecer la apertura de la </w:t>
      </w:r>
      <w:r w:rsidR="002D6BE2">
        <w:rPr>
          <w:rFonts w:ascii="Palatino Linotype" w:eastAsia="Palatino Linotype" w:hAnsi="Palatino Linotype" w:cs="Palatino Linotype"/>
          <w:color w:val="231F20"/>
          <w:spacing w:val="-2"/>
          <w:sz w:val="20"/>
          <w:szCs w:val="20"/>
          <w:lang w:val="es-ES"/>
        </w:rPr>
        <w:t>universidad</w:t>
      </w:r>
      <w:r w:rsidRPr="00F0471F">
        <w:rPr>
          <w:rFonts w:ascii="Palatino Linotype" w:eastAsia="Palatino Linotype" w:hAnsi="Palatino Linotype" w:cs="Palatino Linotype"/>
          <w:color w:val="231F20"/>
          <w:spacing w:val="-2"/>
          <w:sz w:val="20"/>
          <w:szCs w:val="20"/>
          <w:lang w:val="es-ES"/>
        </w:rPr>
        <w:t xml:space="preserve"> al ámbito laboral, su internacionalización y la adaptación de sus titulaciones al marco europeo, también se han impulsado iniciativas dirigidas a facilitar la adopción de un nuevo enfoque educativo centrado en el aprendizaje de competencias. La adopción de este enfoque comporta un cambio importante desde el punto de vista pedagógico y didáctico que afecta a la formación universitaria y a la práctica docente. </w:t>
      </w:r>
      <w:r w:rsidR="002D6BE2">
        <w:rPr>
          <w:rFonts w:ascii="Palatino Linotype" w:eastAsia="Palatino Linotype" w:hAnsi="Palatino Linotype" w:cs="Palatino Linotype"/>
          <w:color w:val="231F20"/>
          <w:spacing w:val="-2"/>
          <w:sz w:val="20"/>
          <w:szCs w:val="20"/>
          <w:lang w:val="es-ES"/>
        </w:rPr>
        <w:t>Con él s</w:t>
      </w:r>
      <w:r w:rsidRPr="00F0471F">
        <w:rPr>
          <w:rFonts w:ascii="Palatino Linotype" w:eastAsia="Palatino Linotype" w:hAnsi="Palatino Linotype" w:cs="Palatino Linotype"/>
          <w:color w:val="231F20"/>
          <w:spacing w:val="-2"/>
          <w:sz w:val="20"/>
          <w:szCs w:val="20"/>
          <w:lang w:val="es-ES"/>
        </w:rPr>
        <w:t>e pretende poner en marcha programas educativos sustentados en perfiles profesionales</w:t>
      </w:r>
      <w:r w:rsidR="002D6BE2">
        <w:rPr>
          <w:rFonts w:ascii="Palatino Linotype" w:eastAsia="Palatino Linotype" w:hAnsi="Palatino Linotype" w:cs="Palatino Linotype"/>
          <w:color w:val="231F20"/>
          <w:spacing w:val="-2"/>
          <w:sz w:val="20"/>
          <w:szCs w:val="20"/>
          <w:lang w:val="es-ES"/>
        </w:rPr>
        <w:t>, revalorizar</w:t>
      </w:r>
      <w:r w:rsidRPr="00F0471F">
        <w:rPr>
          <w:rFonts w:ascii="Palatino Linotype" w:eastAsia="Palatino Linotype" w:hAnsi="Palatino Linotype" w:cs="Palatino Linotype"/>
          <w:color w:val="231F20"/>
          <w:spacing w:val="-2"/>
          <w:sz w:val="20"/>
          <w:szCs w:val="20"/>
          <w:lang w:val="es-ES"/>
        </w:rPr>
        <w:t xml:space="preserve"> la formación práctica; </w:t>
      </w:r>
      <w:r w:rsidR="002D6BE2">
        <w:rPr>
          <w:rFonts w:ascii="Palatino Linotype" w:eastAsia="Palatino Linotype" w:hAnsi="Palatino Linotype" w:cs="Palatino Linotype"/>
          <w:color w:val="231F20"/>
          <w:spacing w:val="-2"/>
          <w:sz w:val="20"/>
          <w:szCs w:val="20"/>
          <w:lang w:val="es-ES"/>
        </w:rPr>
        <w:t>impulsar</w:t>
      </w:r>
      <w:r w:rsidRPr="00F0471F">
        <w:rPr>
          <w:rFonts w:ascii="Palatino Linotype" w:eastAsia="Palatino Linotype" w:hAnsi="Palatino Linotype" w:cs="Palatino Linotype"/>
          <w:color w:val="231F20"/>
          <w:spacing w:val="-2"/>
          <w:sz w:val="20"/>
          <w:szCs w:val="20"/>
          <w:lang w:val="es-ES"/>
        </w:rPr>
        <w:t xml:space="preserve"> nuevos roles docentes centrados en la</w:t>
      </w:r>
      <w:r w:rsidR="000A6B10">
        <w:rPr>
          <w:rFonts w:ascii="Palatino Linotype" w:eastAsia="Palatino Linotype" w:hAnsi="Palatino Linotype" w:cs="Palatino Linotype"/>
          <w:color w:val="231F20"/>
          <w:spacing w:val="-2"/>
          <w:sz w:val="20"/>
          <w:szCs w:val="20"/>
          <w:lang w:val="es-ES"/>
        </w:rPr>
        <w:t xml:space="preserve"> </w:t>
      </w:r>
      <w:r w:rsidRPr="00F0471F">
        <w:rPr>
          <w:rFonts w:ascii="Palatino Linotype" w:eastAsia="Palatino Linotype" w:hAnsi="Palatino Linotype" w:cs="Palatino Linotype"/>
          <w:color w:val="231F20"/>
          <w:spacing w:val="-2"/>
          <w:sz w:val="20"/>
          <w:szCs w:val="20"/>
          <w:lang w:val="es-ES"/>
        </w:rPr>
        <w:t xml:space="preserve">orientación y seguimiento del aprendizaje; </w:t>
      </w:r>
      <w:r w:rsidR="002D6BE2">
        <w:rPr>
          <w:rFonts w:ascii="Palatino Linotype" w:eastAsia="Palatino Linotype" w:hAnsi="Palatino Linotype" w:cs="Palatino Linotype"/>
          <w:color w:val="231F20"/>
          <w:spacing w:val="-2"/>
          <w:sz w:val="20"/>
          <w:szCs w:val="20"/>
          <w:lang w:val="es-ES"/>
        </w:rPr>
        <w:t xml:space="preserve">introducir </w:t>
      </w:r>
      <w:r w:rsidRPr="00F0471F">
        <w:rPr>
          <w:rFonts w:ascii="Palatino Linotype" w:eastAsia="Palatino Linotype" w:hAnsi="Palatino Linotype" w:cs="Palatino Linotype"/>
          <w:color w:val="231F20"/>
          <w:spacing w:val="-2"/>
          <w:sz w:val="20"/>
          <w:szCs w:val="20"/>
          <w:lang w:val="es-ES"/>
        </w:rPr>
        <w:t>metodologías activas que favorezcan el papel activo del alumnado en su formación; incorpora</w:t>
      </w:r>
      <w:r w:rsidR="002D6BE2">
        <w:rPr>
          <w:rFonts w:ascii="Palatino Linotype" w:eastAsia="Palatino Linotype" w:hAnsi="Palatino Linotype" w:cs="Palatino Linotype"/>
          <w:color w:val="231F20"/>
          <w:spacing w:val="-2"/>
          <w:sz w:val="20"/>
          <w:szCs w:val="20"/>
          <w:lang w:val="es-ES"/>
        </w:rPr>
        <w:t>r</w:t>
      </w:r>
      <w:r w:rsidRPr="00F0471F">
        <w:rPr>
          <w:rFonts w:ascii="Palatino Linotype" w:eastAsia="Palatino Linotype" w:hAnsi="Palatino Linotype" w:cs="Palatino Linotype"/>
          <w:color w:val="231F20"/>
          <w:spacing w:val="-2"/>
          <w:sz w:val="20"/>
          <w:szCs w:val="20"/>
          <w:lang w:val="es-ES"/>
        </w:rPr>
        <w:t xml:space="preserve"> nuevos sistemas de evaluación, etc. </w:t>
      </w:r>
      <w:r w:rsidRPr="00F0471F">
        <w:rPr>
          <w:rFonts w:ascii="Palatino Linotype" w:eastAsia="Palatino Linotype" w:hAnsi="Palatino Linotype" w:cs="Palatino Linotype"/>
          <w:color w:val="231F20"/>
          <w:spacing w:val="-2"/>
          <w:sz w:val="20"/>
          <w:szCs w:val="20"/>
          <w:lang w:val="es-ES"/>
        </w:rPr>
        <w:lastRenderedPageBreak/>
        <w:t xml:space="preserve">Cambios que representan un desafío para la cultura institucional y profesional arraigada en la universidad española. </w:t>
      </w:r>
    </w:p>
    <w:p w:rsidR="00F0471F" w:rsidRPr="00F0471F" w:rsidRDefault="00F0471F" w:rsidP="00F0471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0471F">
        <w:rPr>
          <w:rFonts w:ascii="Palatino Linotype" w:eastAsia="Palatino Linotype" w:hAnsi="Palatino Linotype" w:cs="Palatino Linotype"/>
          <w:color w:val="231F20"/>
          <w:spacing w:val="-2"/>
          <w:sz w:val="20"/>
          <w:szCs w:val="20"/>
          <w:lang w:val="es-ES"/>
        </w:rPr>
        <w:t xml:space="preserve">En estos momentos en que las titulaciones universitarias en España han sido verificadas y acreditadas, y asistimos a la graduación de las primeras promociones de estudiantes en las titulaciones diseñadas conforme al EEES, resulta de vital importancia emprender procesos </w:t>
      </w:r>
      <w:r w:rsidR="004950E3">
        <w:rPr>
          <w:rFonts w:ascii="Palatino Linotype" w:eastAsia="Palatino Linotype" w:hAnsi="Palatino Linotype" w:cs="Palatino Linotype"/>
          <w:color w:val="231F20"/>
          <w:spacing w:val="-2"/>
          <w:sz w:val="20"/>
          <w:szCs w:val="20"/>
          <w:lang w:val="es-ES"/>
        </w:rPr>
        <w:t xml:space="preserve">que </w:t>
      </w:r>
      <w:r w:rsidRPr="00F0471F">
        <w:rPr>
          <w:rFonts w:ascii="Palatino Linotype" w:eastAsia="Palatino Linotype" w:hAnsi="Palatino Linotype" w:cs="Palatino Linotype"/>
          <w:color w:val="231F20"/>
          <w:spacing w:val="-2"/>
          <w:sz w:val="20"/>
          <w:szCs w:val="20"/>
          <w:lang w:val="es-ES"/>
        </w:rPr>
        <w:t xml:space="preserve">permitan analizar el impacto real de las acciones emprendidas, así como las dificultades encontradas, y establecer, a partir de ellos, nuevos compromisos para la mejora. Existe, en este sentido, una cierta tendencia a reconocer que los esfuerzos institucionales desplegados para favorecer los cambios estructurales han sido superiores a la atención deparada </w:t>
      </w:r>
      <w:r w:rsidR="00AE18F1">
        <w:rPr>
          <w:rFonts w:ascii="Palatino Linotype" w:eastAsia="Palatino Linotype" w:hAnsi="Palatino Linotype" w:cs="Palatino Linotype"/>
          <w:color w:val="231F20"/>
          <w:spacing w:val="-2"/>
          <w:sz w:val="20"/>
          <w:szCs w:val="20"/>
          <w:lang w:val="es-ES"/>
        </w:rPr>
        <w:t>a los aspectos</w:t>
      </w:r>
      <w:r w:rsidRPr="00F0471F">
        <w:rPr>
          <w:rFonts w:ascii="Palatino Linotype" w:eastAsia="Palatino Linotype" w:hAnsi="Palatino Linotype" w:cs="Palatino Linotype"/>
          <w:color w:val="231F20"/>
          <w:spacing w:val="-2"/>
          <w:sz w:val="20"/>
          <w:szCs w:val="20"/>
          <w:lang w:val="es-ES"/>
        </w:rPr>
        <w:t xml:space="preserve"> cultural</w:t>
      </w:r>
      <w:r w:rsidR="00AE18F1">
        <w:rPr>
          <w:rFonts w:ascii="Palatino Linotype" w:eastAsia="Palatino Linotype" w:hAnsi="Palatino Linotype" w:cs="Palatino Linotype"/>
          <w:color w:val="231F20"/>
          <w:spacing w:val="-2"/>
          <w:sz w:val="20"/>
          <w:szCs w:val="20"/>
          <w:lang w:val="es-ES"/>
        </w:rPr>
        <w:t>es, didácticos</w:t>
      </w:r>
      <w:r w:rsidRPr="00F0471F">
        <w:rPr>
          <w:rFonts w:ascii="Palatino Linotype" w:eastAsia="Palatino Linotype" w:hAnsi="Palatino Linotype" w:cs="Palatino Linotype"/>
          <w:color w:val="231F20"/>
          <w:spacing w:val="-2"/>
          <w:sz w:val="20"/>
          <w:szCs w:val="20"/>
          <w:lang w:val="es-ES"/>
        </w:rPr>
        <w:t xml:space="preserve"> y pedagógico que estos cambios </w:t>
      </w:r>
      <w:r w:rsidR="00AE18F1">
        <w:rPr>
          <w:rFonts w:ascii="Palatino Linotype" w:eastAsia="Palatino Linotype" w:hAnsi="Palatino Linotype" w:cs="Palatino Linotype"/>
          <w:color w:val="231F20"/>
          <w:spacing w:val="-2"/>
          <w:sz w:val="20"/>
          <w:szCs w:val="20"/>
          <w:lang w:val="es-ES"/>
        </w:rPr>
        <w:t xml:space="preserve">comportan </w:t>
      </w:r>
      <w:r w:rsidRPr="00F0471F">
        <w:rPr>
          <w:rFonts w:ascii="Palatino Linotype" w:eastAsia="Palatino Linotype" w:hAnsi="Palatino Linotype" w:cs="Palatino Linotype"/>
          <w:color w:val="231F20"/>
          <w:spacing w:val="-2"/>
          <w:sz w:val="20"/>
          <w:szCs w:val="20"/>
          <w:lang w:val="es-ES"/>
        </w:rPr>
        <w:t xml:space="preserve">para el </w:t>
      </w:r>
      <w:r w:rsidRPr="00657FAE">
        <w:rPr>
          <w:rFonts w:ascii="Palatino Linotype" w:eastAsia="Palatino Linotype" w:hAnsi="Palatino Linotype" w:cs="Palatino Linotype"/>
          <w:spacing w:val="-2"/>
          <w:sz w:val="20"/>
          <w:szCs w:val="20"/>
          <w:lang w:val="es-ES"/>
        </w:rPr>
        <w:t>profesorado (</w:t>
      </w:r>
      <w:r w:rsidR="0062216D">
        <w:rPr>
          <w:rFonts w:ascii="Palatino Linotype" w:eastAsia="Palatino Linotype" w:hAnsi="Palatino Linotype" w:cs="Palatino Linotype"/>
          <w:spacing w:val="-2"/>
          <w:sz w:val="20"/>
          <w:szCs w:val="20"/>
          <w:lang w:val="es-ES"/>
        </w:rPr>
        <w:t>autores</w:t>
      </w:r>
      <w:r w:rsidRPr="00657FAE">
        <w:rPr>
          <w:rFonts w:ascii="Palatino Linotype" w:eastAsia="Palatino Linotype" w:hAnsi="Palatino Linotype" w:cs="Palatino Linotype"/>
          <w:spacing w:val="-2"/>
          <w:sz w:val="20"/>
          <w:szCs w:val="20"/>
          <w:lang w:val="es-ES"/>
        </w:rPr>
        <w:t xml:space="preserve">). </w:t>
      </w:r>
      <w:r w:rsidR="00AE18F1">
        <w:rPr>
          <w:rFonts w:ascii="Palatino Linotype" w:eastAsia="Palatino Linotype" w:hAnsi="Palatino Linotype" w:cs="Palatino Linotype"/>
          <w:color w:val="231F20"/>
          <w:spacing w:val="-2"/>
          <w:sz w:val="20"/>
          <w:szCs w:val="20"/>
          <w:lang w:val="es-ES"/>
        </w:rPr>
        <w:t>L</w:t>
      </w:r>
      <w:r w:rsidRPr="00F0471F">
        <w:rPr>
          <w:rFonts w:ascii="Palatino Linotype" w:eastAsia="Palatino Linotype" w:hAnsi="Palatino Linotype" w:cs="Palatino Linotype"/>
          <w:color w:val="231F20"/>
          <w:spacing w:val="-2"/>
          <w:sz w:val="20"/>
          <w:szCs w:val="20"/>
          <w:lang w:val="es-ES"/>
        </w:rPr>
        <w:t xml:space="preserve">a mejora de la formación práctica, la formación y coordinación docente, la evaluación de competencias, </w:t>
      </w:r>
      <w:r w:rsidR="00AE18F1">
        <w:rPr>
          <w:rFonts w:ascii="Palatino Linotype" w:eastAsia="Palatino Linotype" w:hAnsi="Palatino Linotype" w:cs="Palatino Linotype"/>
          <w:color w:val="231F20"/>
          <w:spacing w:val="-2"/>
          <w:sz w:val="20"/>
          <w:szCs w:val="20"/>
          <w:lang w:val="es-ES"/>
        </w:rPr>
        <w:t>la innovación metodológica</w:t>
      </w:r>
      <w:r w:rsidR="00D06F6A">
        <w:rPr>
          <w:rFonts w:ascii="Palatino Linotype" w:eastAsia="Palatino Linotype" w:hAnsi="Palatino Linotype" w:cs="Palatino Linotype"/>
          <w:color w:val="231F20"/>
          <w:spacing w:val="-2"/>
          <w:sz w:val="20"/>
          <w:szCs w:val="20"/>
          <w:lang w:val="es-ES"/>
        </w:rPr>
        <w:t>,</w:t>
      </w:r>
      <w:r w:rsidRPr="00F0471F">
        <w:rPr>
          <w:rFonts w:ascii="Palatino Linotype" w:eastAsia="Palatino Linotype" w:hAnsi="Palatino Linotype" w:cs="Palatino Linotype"/>
          <w:color w:val="231F20"/>
          <w:spacing w:val="-2"/>
          <w:sz w:val="20"/>
          <w:szCs w:val="20"/>
          <w:lang w:val="es-ES"/>
        </w:rPr>
        <w:t xml:space="preserve"> o </w:t>
      </w:r>
      <w:r w:rsidRPr="000A6B10">
        <w:rPr>
          <w:rFonts w:ascii="Palatino Linotype" w:eastAsia="Palatino Linotype" w:hAnsi="Palatino Linotype" w:cs="Palatino Linotype"/>
          <w:spacing w:val="-2"/>
          <w:sz w:val="20"/>
          <w:szCs w:val="20"/>
          <w:lang w:val="es-ES"/>
        </w:rPr>
        <w:t>la</w:t>
      </w:r>
      <w:r w:rsidR="000A6B10">
        <w:rPr>
          <w:rFonts w:ascii="Palatino Linotype" w:eastAsia="Palatino Linotype" w:hAnsi="Palatino Linotype" w:cs="Palatino Linotype"/>
          <w:spacing w:val="-2"/>
          <w:sz w:val="20"/>
          <w:szCs w:val="20"/>
          <w:lang w:val="es-ES"/>
        </w:rPr>
        <w:t xml:space="preserve"> </w:t>
      </w:r>
      <w:r w:rsidRPr="000A6B10">
        <w:rPr>
          <w:rFonts w:ascii="Palatino Linotype" w:eastAsia="Palatino Linotype" w:hAnsi="Palatino Linotype" w:cs="Palatino Linotype"/>
          <w:spacing w:val="-2"/>
          <w:sz w:val="20"/>
          <w:szCs w:val="20"/>
          <w:lang w:val="es-ES"/>
        </w:rPr>
        <w:t xml:space="preserve">situación </w:t>
      </w:r>
      <w:r w:rsidRPr="00F0471F">
        <w:rPr>
          <w:rFonts w:ascii="Palatino Linotype" w:eastAsia="Palatino Linotype" w:hAnsi="Palatino Linotype" w:cs="Palatino Linotype"/>
          <w:color w:val="231F20"/>
          <w:spacing w:val="-2"/>
          <w:sz w:val="20"/>
          <w:szCs w:val="20"/>
          <w:lang w:val="es-ES"/>
        </w:rPr>
        <w:t xml:space="preserve">profesional de los docentes, continúan siendo asignaturas pendientes en el sistema universitario español (Pozo </w:t>
      </w:r>
      <w:r w:rsidR="00560AF9">
        <w:rPr>
          <w:rFonts w:ascii="Palatino Linotype" w:eastAsia="Palatino Linotype" w:hAnsi="Palatino Linotype" w:cs="Palatino Linotype"/>
          <w:color w:val="231F20"/>
          <w:spacing w:val="-2"/>
          <w:sz w:val="20"/>
          <w:szCs w:val="20"/>
          <w:lang w:val="es-ES"/>
        </w:rPr>
        <w:t>&amp;</w:t>
      </w:r>
      <w:r w:rsidRPr="00F0471F">
        <w:rPr>
          <w:rFonts w:ascii="Palatino Linotype" w:eastAsia="Palatino Linotype" w:hAnsi="Palatino Linotype" w:cs="Palatino Linotype"/>
          <w:color w:val="231F20"/>
          <w:spacing w:val="-2"/>
          <w:sz w:val="20"/>
          <w:szCs w:val="20"/>
          <w:lang w:val="es-ES"/>
        </w:rPr>
        <w:t xml:space="preserve"> Bretones, 2015). </w:t>
      </w:r>
      <w:r w:rsidR="00533F26">
        <w:rPr>
          <w:rFonts w:ascii="Palatino Linotype" w:eastAsia="Palatino Linotype" w:hAnsi="Palatino Linotype" w:cs="Palatino Linotype"/>
          <w:color w:val="231F20"/>
          <w:spacing w:val="-2"/>
          <w:sz w:val="20"/>
          <w:szCs w:val="20"/>
          <w:lang w:val="es-ES"/>
        </w:rPr>
        <w:t xml:space="preserve"> Para  estas autoras, </w:t>
      </w:r>
      <w:r w:rsidRPr="00F0471F">
        <w:rPr>
          <w:rFonts w:ascii="Palatino Linotype" w:eastAsia="Palatino Linotype" w:hAnsi="Palatino Linotype" w:cs="Palatino Linotype"/>
          <w:color w:val="231F20"/>
          <w:spacing w:val="-2"/>
          <w:sz w:val="20"/>
          <w:szCs w:val="20"/>
          <w:lang w:val="es-ES"/>
        </w:rPr>
        <w:t>gran parte de las dificultades que se apreciaban en un primer momento siguen sin solucionarse</w:t>
      </w:r>
      <w:r w:rsidR="00074CA6">
        <w:rPr>
          <w:rFonts w:ascii="Palatino Linotype" w:eastAsia="Palatino Linotype" w:hAnsi="Palatino Linotype" w:cs="Palatino Linotype"/>
          <w:color w:val="231F20"/>
          <w:spacing w:val="-2"/>
          <w:sz w:val="20"/>
          <w:szCs w:val="20"/>
          <w:lang w:val="es-ES"/>
        </w:rPr>
        <w:t>, o</w:t>
      </w:r>
      <w:r w:rsidR="00533F26">
        <w:rPr>
          <w:rFonts w:ascii="Palatino Linotype" w:eastAsia="Palatino Linotype" w:hAnsi="Palatino Linotype" w:cs="Palatino Linotype"/>
          <w:color w:val="231F20"/>
          <w:spacing w:val="-2"/>
          <w:sz w:val="20"/>
          <w:szCs w:val="20"/>
          <w:lang w:val="es-ES"/>
        </w:rPr>
        <w:t xml:space="preserve">pinión </w:t>
      </w:r>
      <w:r w:rsidR="00074CA6">
        <w:rPr>
          <w:rFonts w:ascii="Palatino Linotype" w:eastAsia="Palatino Linotype" w:hAnsi="Palatino Linotype" w:cs="Palatino Linotype"/>
          <w:color w:val="231F20"/>
          <w:spacing w:val="-2"/>
          <w:sz w:val="20"/>
          <w:szCs w:val="20"/>
          <w:lang w:val="es-ES"/>
        </w:rPr>
        <w:t xml:space="preserve">que </w:t>
      </w:r>
      <w:r w:rsidR="00074CA6" w:rsidRPr="000A6B10">
        <w:rPr>
          <w:rFonts w:ascii="Palatino Linotype" w:eastAsia="Palatino Linotype" w:hAnsi="Palatino Linotype" w:cs="Palatino Linotype"/>
          <w:spacing w:val="-2"/>
          <w:sz w:val="20"/>
          <w:szCs w:val="20"/>
          <w:lang w:val="es-ES"/>
        </w:rPr>
        <w:t>comparten</w:t>
      </w:r>
      <w:r w:rsidR="000A6B10" w:rsidRPr="000A6B10">
        <w:rPr>
          <w:rFonts w:ascii="Palatino Linotype" w:eastAsia="Palatino Linotype" w:hAnsi="Palatino Linotype" w:cs="Palatino Linotype"/>
          <w:spacing w:val="-2"/>
          <w:sz w:val="20"/>
          <w:szCs w:val="20"/>
          <w:lang w:val="es-ES"/>
        </w:rPr>
        <w:t xml:space="preserve"> </w:t>
      </w:r>
      <w:proofErr w:type="spellStart"/>
      <w:r w:rsidRPr="000A6B10">
        <w:rPr>
          <w:rFonts w:ascii="Palatino Linotype" w:eastAsia="Palatino Linotype" w:hAnsi="Palatino Linotype" w:cs="Palatino Linotype"/>
          <w:spacing w:val="-2"/>
          <w:sz w:val="20"/>
          <w:szCs w:val="20"/>
          <w:lang w:val="es-ES"/>
        </w:rPr>
        <w:t>Ermec</w:t>
      </w:r>
      <w:proofErr w:type="spellEnd"/>
      <w:r w:rsidR="002D27C8">
        <w:rPr>
          <w:rFonts w:ascii="Palatino Linotype" w:eastAsia="Palatino Linotype" w:hAnsi="Palatino Linotype" w:cs="Palatino Linotype"/>
          <w:spacing w:val="-2"/>
          <w:sz w:val="20"/>
          <w:szCs w:val="20"/>
          <w:lang w:val="es-ES"/>
        </w:rPr>
        <w:t xml:space="preserve"> </w:t>
      </w:r>
      <w:r w:rsidRPr="000A6B10">
        <w:rPr>
          <w:rFonts w:ascii="Palatino Linotype" w:eastAsia="Palatino Linotype" w:hAnsi="Palatino Linotype" w:cs="Palatino Linotype"/>
          <w:spacing w:val="-2"/>
          <w:sz w:val="20"/>
          <w:szCs w:val="20"/>
          <w:lang w:val="es-ES"/>
        </w:rPr>
        <w:t>&amp;</w:t>
      </w:r>
      <w:proofErr w:type="spellStart"/>
      <w:r w:rsidRPr="000A6B10">
        <w:rPr>
          <w:rFonts w:ascii="Palatino Linotype" w:eastAsia="Palatino Linotype" w:hAnsi="Palatino Linotype" w:cs="Palatino Linotype"/>
          <w:spacing w:val="-2"/>
          <w:sz w:val="20"/>
          <w:szCs w:val="20"/>
          <w:lang w:val="es-ES"/>
        </w:rPr>
        <w:t>Vujisic-Zivkovic</w:t>
      </w:r>
      <w:proofErr w:type="spellEnd"/>
      <w:r w:rsidRPr="000A6B10">
        <w:rPr>
          <w:rFonts w:ascii="Palatino Linotype" w:eastAsia="Palatino Linotype" w:hAnsi="Palatino Linotype" w:cs="Palatino Linotype"/>
          <w:spacing w:val="-2"/>
          <w:sz w:val="20"/>
          <w:szCs w:val="20"/>
          <w:lang w:val="es-ES"/>
        </w:rPr>
        <w:t xml:space="preserve"> (2015)</w:t>
      </w:r>
      <w:r w:rsidR="000A6B10">
        <w:rPr>
          <w:rFonts w:ascii="Palatino Linotype" w:eastAsia="Palatino Linotype" w:hAnsi="Palatino Linotype" w:cs="Palatino Linotype"/>
          <w:spacing w:val="-2"/>
          <w:sz w:val="20"/>
          <w:szCs w:val="20"/>
          <w:lang w:val="es-ES"/>
        </w:rPr>
        <w:t xml:space="preserve"> </w:t>
      </w:r>
      <w:r w:rsidR="00074CA6" w:rsidRPr="000A6B10">
        <w:rPr>
          <w:rFonts w:ascii="Palatino Linotype" w:eastAsia="Palatino Linotype" w:hAnsi="Palatino Linotype" w:cs="Palatino Linotype"/>
          <w:spacing w:val="-2"/>
          <w:sz w:val="20"/>
          <w:szCs w:val="20"/>
          <w:lang w:val="es-ES"/>
        </w:rPr>
        <w:t>cuando</w:t>
      </w:r>
      <w:r w:rsidR="000A6B10">
        <w:rPr>
          <w:rFonts w:ascii="Palatino Linotype" w:eastAsia="Palatino Linotype" w:hAnsi="Palatino Linotype" w:cs="Palatino Linotype"/>
          <w:spacing w:val="-2"/>
          <w:sz w:val="20"/>
          <w:szCs w:val="20"/>
          <w:lang w:val="es-ES"/>
        </w:rPr>
        <w:t xml:space="preserve"> </w:t>
      </w:r>
      <w:r w:rsidR="00074CA6">
        <w:rPr>
          <w:rFonts w:ascii="Palatino Linotype" w:eastAsia="Palatino Linotype" w:hAnsi="Palatino Linotype" w:cs="Palatino Linotype"/>
          <w:color w:val="231F20"/>
          <w:spacing w:val="-2"/>
          <w:sz w:val="20"/>
          <w:szCs w:val="20"/>
          <w:lang w:val="es-ES"/>
        </w:rPr>
        <w:t xml:space="preserve">afirman que </w:t>
      </w:r>
      <w:r w:rsidRPr="00F0471F">
        <w:rPr>
          <w:rFonts w:ascii="Palatino Linotype" w:eastAsia="Palatino Linotype" w:hAnsi="Palatino Linotype" w:cs="Palatino Linotype"/>
          <w:color w:val="231F20"/>
          <w:spacing w:val="-2"/>
          <w:sz w:val="20"/>
          <w:szCs w:val="20"/>
          <w:lang w:val="es-ES"/>
        </w:rPr>
        <w:t>aún estamos lejos de conseguir que la incorporación del enfoque por competencias sea un éxito.</w:t>
      </w:r>
    </w:p>
    <w:p w:rsidR="00F0471F" w:rsidRPr="00F0471F" w:rsidRDefault="00F0471F" w:rsidP="00F0471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0471F">
        <w:rPr>
          <w:rFonts w:ascii="Palatino Linotype" w:eastAsia="Palatino Linotype" w:hAnsi="Palatino Linotype" w:cs="Palatino Linotype"/>
          <w:color w:val="231F20"/>
          <w:spacing w:val="-2"/>
          <w:sz w:val="20"/>
          <w:szCs w:val="20"/>
          <w:lang w:val="es-ES"/>
        </w:rPr>
        <w:t xml:space="preserve">Aunque existen </w:t>
      </w:r>
      <w:r w:rsidR="00345FD0">
        <w:rPr>
          <w:rFonts w:ascii="Palatino Linotype" w:eastAsia="Palatino Linotype" w:hAnsi="Palatino Linotype" w:cs="Palatino Linotype"/>
          <w:color w:val="231F20"/>
          <w:spacing w:val="-2"/>
          <w:sz w:val="20"/>
          <w:szCs w:val="20"/>
          <w:lang w:val="es-ES"/>
        </w:rPr>
        <w:t xml:space="preserve">numerosos </w:t>
      </w:r>
      <w:r w:rsidRPr="00F0471F">
        <w:rPr>
          <w:rFonts w:ascii="Palatino Linotype" w:eastAsia="Palatino Linotype" w:hAnsi="Palatino Linotype" w:cs="Palatino Linotype"/>
          <w:color w:val="231F20"/>
          <w:spacing w:val="-2"/>
          <w:sz w:val="20"/>
          <w:szCs w:val="20"/>
          <w:lang w:val="es-ES"/>
        </w:rPr>
        <w:t xml:space="preserve">trabajos recientes que persiguen subsanar algunas de estas deficiencias (Villa </w:t>
      </w:r>
      <w:r w:rsidR="00560AF9">
        <w:rPr>
          <w:rFonts w:ascii="Palatino Linotype" w:eastAsia="Palatino Linotype" w:hAnsi="Palatino Linotype" w:cs="Palatino Linotype"/>
          <w:color w:val="231F20"/>
          <w:spacing w:val="-2"/>
          <w:sz w:val="20"/>
          <w:szCs w:val="20"/>
          <w:lang w:val="es-ES"/>
        </w:rPr>
        <w:t>&amp;</w:t>
      </w:r>
      <w:r w:rsidRPr="00F0471F">
        <w:rPr>
          <w:rFonts w:ascii="Palatino Linotype" w:eastAsia="Palatino Linotype" w:hAnsi="Palatino Linotype" w:cs="Palatino Linotype"/>
          <w:color w:val="231F20"/>
          <w:spacing w:val="-2"/>
          <w:sz w:val="20"/>
          <w:szCs w:val="20"/>
          <w:lang w:val="es-ES"/>
        </w:rPr>
        <w:t xml:space="preserve"> otros, 2015</w:t>
      </w:r>
      <w:r w:rsidR="000B5406">
        <w:rPr>
          <w:rFonts w:ascii="Palatino Linotype" w:eastAsia="Palatino Linotype" w:hAnsi="Palatino Linotype" w:cs="Palatino Linotype"/>
          <w:color w:val="231F20"/>
          <w:spacing w:val="-2"/>
          <w:sz w:val="20"/>
          <w:szCs w:val="20"/>
          <w:lang w:val="es-ES"/>
        </w:rPr>
        <w:t xml:space="preserve"> y</w:t>
      </w:r>
      <w:r w:rsidRPr="00F0471F">
        <w:rPr>
          <w:rFonts w:ascii="Palatino Linotype" w:eastAsia="Palatino Linotype" w:hAnsi="Palatino Linotype" w:cs="Palatino Linotype"/>
          <w:color w:val="231F20"/>
          <w:spacing w:val="-2"/>
          <w:sz w:val="20"/>
          <w:szCs w:val="20"/>
          <w:lang w:val="es-ES"/>
        </w:rPr>
        <w:t xml:space="preserve"> Miguel de, &amp; Lázaro de,  2016), los resultados no son concluyentes. Como han señalado</w:t>
      </w:r>
      <w:r w:rsidR="00657FAE">
        <w:rPr>
          <w:rFonts w:ascii="Palatino Linotype" w:eastAsia="Palatino Linotype" w:hAnsi="Palatino Linotype" w:cs="Palatino Linotype"/>
          <w:color w:val="231F20"/>
          <w:spacing w:val="-2"/>
          <w:sz w:val="20"/>
          <w:szCs w:val="20"/>
          <w:lang w:val="es-ES"/>
        </w:rPr>
        <w:t xml:space="preserve"> </w:t>
      </w:r>
      <w:r w:rsidR="0062216D">
        <w:rPr>
          <w:rFonts w:ascii="Palatino Linotype" w:eastAsia="Palatino Linotype" w:hAnsi="Palatino Linotype" w:cs="Palatino Linotype"/>
          <w:color w:val="231F20"/>
          <w:spacing w:val="-2"/>
          <w:sz w:val="20"/>
          <w:szCs w:val="20"/>
          <w:lang w:val="es-ES"/>
        </w:rPr>
        <w:t>(</w:t>
      </w:r>
      <w:r w:rsidR="0062216D">
        <w:rPr>
          <w:rFonts w:ascii="Palatino Linotype" w:eastAsia="Palatino Linotype" w:hAnsi="Palatino Linotype" w:cs="Palatino Linotype"/>
          <w:spacing w:val="-2"/>
          <w:sz w:val="20"/>
          <w:szCs w:val="20"/>
          <w:lang w:val="es-ES"/>
        </w:rPr>
        <w:t>autores)</w:t>
      </w:r>
      <w:r w:rsidR="0062216D" w:rsidRPr="00657FAE">
        <w:rPr>
          <w:rFonts w:ascii="Palatino Linotype" w:eastAsia="Palatino Linotype" w:hAnsi="Palatino Linotype" w:cs="Palatino Linotype"/>
          <w:color w:val="231F20"/>
          <w:spacing w:val="-2"/>
          <w:sz w:val="20"/>
          <w:szCs w:val="20"/>
          <w:lang w:val="es-ES"/>
        </w:rPr>
        <w:t xml:space="preserve"> </w:t>
      </w:r>
      <w:r w:rsidR="000B5406" w:rsidRPr="00657FAE">
        <w:rPr>
          <w:rFonts w:ascii="Palatino Linotype" w:eastAsia="Palatino Linotype" w:hAnsi="Palatino Linotype" w:cs="Palatino Linotype"/>
          <w:color w:val="231F20"/>
          <w:spacing w:val="-2"/>
          <w:sz w:val="20"/>
          <w:szCs w:val="20"/>
          <w:lang w:val="es-ES"/>
        </w:rPr>
        <w:t>(</w:t>
      </w:r>
      <w:r w:rsidR="00CA063E">
        <w:rPr>
          <w:rFonts w:ascii="Palatino Linotype" w:eastAsia="Palatino Linotype" w:hAnsi="Palatino Linotype" w:cs="Palatino Linotype"/>
          <w:color w:val="231F20"/>
          <w:spacing w:val="-2"/>
          <w:sz w:val="20"/>
          <w:szCs w:val="20"/>
          <w:lang w:val="es-ES"/>
        </w:rPr>
        <w:t xml:space="preserve">p. </w:t>
      </w:r>
      <w:r w:rsidR="00657FAE">
        <w:rPr>
          <w:rFonts w:ascii="Palatino Linotype" w:eastAsia="Palatino Linotype" w:hAnsi="Palatino Linotype" w:cs="Palatino Linotype"/>
          <w:color w:val="231F20"/>
          <w:spacing w:val="-2"/>
          <w:sz w:val="20"/>
          <w:szCs w:val="20"/>
          <w:lang w:val="es-ES"/>
        </w:rPr>
        <w:t>21</w:t>
      </w:r>
      <w:r w:rsidR="000B5406" w:rsidRPr="00657FAE">
        <w:rPr>
          <w:rFonts w:ascii="Palatino Linotype" w:eastAsia="Palatino Linotype" w:hAnsi="Palatino Linotype" w:cs="Palatino Linotype"/>
          <w:color w:val="231F20"/>
          <w:spacing w:val="-2"/>
          <w:sz w:val="20"/>
          <w:szCs w:val="20"/>
          <w:lang w:val="es-ES"/>
        </w:rPr>
        <w:t>)</w:t>
      </w:r>
      <w:r w:rsidR="000A6B10" w:rsidRPr="00657FAE">
        <w:rPr>
          <w:rFonts w:ascii="Palatino Linotype" w:eastAsia="Palatino Linotype" w:hAnsi="Palatino Linotype" w:cs="Palatino Linotype"/>
          <w:color w:val="231F20"/>
          <w:spacing w:val="-2"/>
          <w:sz w:val="20"/>
          <w:szCs w:val="20"/>
          <w:lang w:val="es-ES"/>
        </w:rPr>
        <w:t xml:space="preserve"> </w:t>
      </w:r>
      <w:r w:rsidRPr="00657FAE">
        <w:rPr>
          <w:rFonts w:ascii="Palatino Linotype" w:eastAsia="Palatino Linotype" w:hAnsi="Palatino Linotype" w:cs="Palatino Linotype"/>
          <w:color w:val="231F20"/>
          <w:spacing w:val="-2"/>
          <w:sz w:val="20"/>
          <w:szCs w:val="20"/>
          <w:lang w:val="es-ES"/>
        </w:rPr>
        <w:t>“</w:t>
      </w:r>
      <w:r w:rsidRPr="00F0471F">
        <w:rPr>
          <w:rFonts w:ascii="Palatino Linotype" w:eastAsia="Palatino Linotype" w:hAnsi="Palatino Linotype" w:cs="Palatino Linotype"/>
          <w:color w:val="231F20"/>
          <w:spacing w:val="-2"/>
          <w:sz w:val="20"/>
          <w:szCs w:val="20"/>
          <w:lang w:val="es-ES"/>
        </w:rPr>
        <w:t>se sabe poco sobre qué se está evaluando, cómo se está realizando esa evaluación o cuál es el impacto en el desarrollo competencial o en la mejora de la formación universitaria”</w:t>
      </w:r>
      <w:r w:rsidR="00657FAE">
        <w:rPr>
          <w:rFonts w:ascii="Palatino Linotype" w:eastAsia="Palatino Linotype" w:hAnsi="Palatino Linotype" w:cs="Palatino Linotype"/>
          <w:color w:val="231F20"/>
          <w:spacing w:val="-2"/>
          <w:sz w:val="20"/>
          <w:szCs w:val="20"/>
          <w:lang w:val="es-ES"/>
        </w:rPr>
        <w:t xml:space="preserve">. </w:t>
      </w:r>
      <w:r w:rsidRPr="00F0471F">
        <w:rPr>
          <w:rFonts w:ascii="Palatino Linotype" w:eastAsia="Palatino Linotype" w:hAnsi="Palatino Linotype" w:cs="Palatino Linotype"/>
          <w:color w:val="231F20"/>
          <w:spacing w:val="-2"/>
          <w:sz w:val="20"/>
          <w:szCs w:val="20"/>
          <w:lang w:val="es-ES"/>
        </w:rPr>
        <w:t>También Watson (2011)</w:t>
      </w:r>
      <w:r w:rsidR="000A6B10">
        <w:rPr>
          <w:rFonts w:ascii="Palatino Linotype" w:eastAsia="Palatino Linotype" w:hAnsi="Palatino Linotype" w:cs="Palatino Linotype"/>
          <w:color w:val="231F20"/>
          <w:spacing w:val="-2"/>
          <w:sz w:val="20"/>
          <w:szCs w:val="20"/>
          <w:lang w:val="es-ES"/>
        </w:rPr>
        <w:t xml:space="preserve"> y </w:t>
      </w:r>
      <w:proofErr w:type="spellStart"/>
      <w:r w:rsidRPr="00F0471F">
        <w:rPr>
          <w:rFonts w:ascii="Palatino Linotype" w:eastAsia="Palatino Linotype" w:hAnsi="Palatino Linotype" w:cs="Palatino Linotype"/>
          <w:color w:val="231F20"/>
          <w:spacing w:val="-2"/>
          <w:sz w:val="20"/>
          <w:szCs w:val="20"/>
          <w:lang w:val="es-ES"/>
        </w:rPr>
        <w:t>Ermenc</w:t>
      </w:r>
      <w:proofErr w:type="spellEnd"/>
      <w:r w:rsidR="000A6B10">
        <w:rPr>
          <w:rFonts w:ascii="Palatino Linotype" w:eastAsia="Palatino Linotype" w:hAnsi="Palatino Linotype" w:cs="Palatino Linotype"/>
          <w:color w:val="231F20"/>
          <w:spacing w:val="-2"/>
          <w:sz w:val="20"/>
          <w:szCs w:val="20"/>
          <w:lang w:val="es-ES"/>
        </w:rPr>
        <w:t xml:space="preserve"> </w:t>
      </w:r>
      <w:r w:rsidRPr="00F0471F">
        <w:rPr>
          <w:rFonts w:ascii="Palatino Linotype" w:eastAsia="Palatino Linotype" w:hAnsi="Palatino Linotype" w:cs="Palatino Linotype"/>
          <w:color w:val="231F20"/>
          <w:spacing w:val="-2"/>
          <w:sz w:val="20"/>
          <w:szCs w:val="20"/>
          <w:lang w:val="es-ES"/>
        </w:rPr>
        <w:t>&amp;</w:t>
      </w:r>
      <w:r w:rsidR="000A6B10">
        <w:rPr>
          <w:rFonts w:ascii="Palatino Linotype" w:eastAsia="Palatino Linotype" w:hAnsi="Palatino Linotype" w:cs="Palatino Linotype"/>
          <w:color w:val="231F20"/>
          <w:spacing w:val="-2"/>
          <w:sz w:val="20"/>
          <w:szCs w:val="20"/>
          <w:lang w:val="es-ES"/>
        </w:rPr>
        <w:t xml:space="preserve"> </w:t>
      </w:r>
      <w:proofErr w:type="spellStart"/>
      <w:r w:rsidRPr="00F0471F">
        <w:rPr>
          <w:rFonts w:ascii="Palatino Linotype" w:eastAsia="Palatino Linotype" w:hAnsi="Palatino Linotype" w:cs="Palatino Linotype"/>
          <w:color w:val="231F20"/>
          <w:spacing w:val="-2"/>
          <w:sz w:val="20"/>
          <w:szCs w:val="20"/>
          <w:lang w:val="es-ES"/>
        </w:rPr>
        <w:t>Vujisic-Živkovic</w:t>
      </w:r>
      <w:proofErr w:type="spellEnd"/>
      <w:r w:rsidRPr="00F0471F">
        <w:rPr>
          <w:rFonts w:ascii="Palatino Linotype" w:eastAsia="Palatino Linotype" w:hAnsi="Palatino Linotype" w:cs="Palatino Linotype"/>
          <w:color w:val="231F20"/>
          <w:spacing w:val="-2"/>
          <w:sz w:val="20"/>
          <w:szCs w:val="20"/>
          <w:lang w:val="es-ES"/>
        </w:rPr>
        <w:t xml:space="preserve"> (2015) reconocen que la información que tenemos, para determinar el verdadero alcance de los cambios adoptados y su incidencia en la mejora de la práctica formativa, es insuficiente y recomiendan ampliar la investigación y profundizar en el enfoque por competencias y su impacto.</w:t>
      </w:r>
    </w:p>
    <w:p w:rsidR="00F0471F" w:rsidRPr="00F0471F" w:rsidRDefault="00F0471F" w:rsidP="00F0471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0471F">
        <w:rPr>
          <w:rFonts w:ascii="Palatino Linotype" w:eastAsia="Palatino Linotype" w:hAnsi="Palatino Linotype" w:cs="Palatino Linotype"/>
          <w:color w:val="231F20"/>
          <w:spacing w:val="-2"/>
          <w:sz w:val="20"/>
          <w:szCs w:val="20"/>
          <w:lang w:val="es-ES"/>
        </w:rPr>
        <w:t xml:space="preserve">Para </w:t>
      </w:r>
      <w:proofErr w:type="spellStart"/>
      <w:r w:rsidRPr="00F0471F">
        <w:rPr>
          <w:rFonts w:ascii="Palatino Linotype" w:eastAsia="Palatino Linotype" w:hAnsi="Palatino Linotype" w:cs="Palatino Linotype"/>
          <w:color w:val="231F20"/>
          <w:spacing w:val="-2"/>
          <w:sz w:val="20"/>
          <w:szCs w:val="20"/>
          <w:lang w:val="es-ES"/>
        </w:rPr>
        <w:t>Tran</w:t>
      </w:r>
      <w:proofErr w:type="spellEnd"/>
      <w:r w:rsidRPr="00F0471F">
        <w:rPr>
          <w:rFonts w:ascii="Palatino Linotype" w:eastAsia="Palatino Linotype" w:hAnsi="Palatino Linotype" w:cs="Palatino Linotype"/>
          <w:color w:val="231F20"/>
          <w:spacing w:val="-2"/>
          <w:sz w:val="20"/>
          <w:szCs w:val="20"/>
          <w:lang w:val="es-ES"/>
        </w:rPr>
        <w:t xml:space="preserve"> (2013), </w:t>
      </w:r>
      <w:proofErr w:type="spellStart"/>
      <w:r w:rsidRPr="00F0471F">
        <w:rPr>
          <w:rFonts w:ascii="Palatino Linotype" w:eastAsia="Palatino Linotype" w:hAnsi="Palatino Linotype" w:cs="Palatino Linotype"/>
          <w:color w:val="231F20"/>
          <w:spacing w:val="-2"/>
          <w:sz w:val="20"/>
          <w:szCs w:val="20"/>
          <w:lang w:val="es-ES"/>
        </w:rPr>
        <w:t>Euler</w:t>
      </w:r>
      <w:proofErr w:type="spellEnd"/>
      <w:r w:rsidRPr="00F0471F">
        <w:rPr>
          <w:rFonts w:ascii="Palatino Linotype" w:eastAsia="Palatino Linotype" w:hAnsi="Palatino Linotype" w:cs="Palatino Linotype"/>
          <w:color w:val="231F20"/>
          <w:spacing w:val="-2"/>
          <w:sz w:val="20"/>
          <w:szCs w:val="20"/>
          <w:lang w:val="es-ES"/>
        </w:rPr>
        <w:t xml:space="preserve"> (2015) </w:t>
      </w:r>
      <w:r w:rsidRPr="0062216D">
        <w:rPr>
          <w:rFonts w:ascii="Palatino" w:eastAsia="Palatino Linotype" w:hAnsi="Palatino" w:cs="Palatino Linotype"/>
          <w:color w:val="231F20"/>
          <w:spacing w:val="-2"/>
          <w:sz w:val="20"/>
          <w:szCs w:val="20"/>
          <w:lang w:val="es-ES"/>
        </w:rPr>
        <w:t>y</w:t>
      </w:r>
      <w:r w:rsidR="00657FAE" w:rsidRPr="0062216D">
        <w:rPr>
          <w:rFonts w:ascii="Palatino" w:hAnsi="Palatino"/>
          <w:sz w:val="20"/>
          <w:szCs w:val="20"/>
          <w:lang w:val="es-ES"/>
        </w:rPr>
        <w:t xml:space="preserve"> </w:t>
      </w:r>
      <w:r w:rsidR="0062216D" w:rsidRPr="0062216D">
        <w:rPr>
          <w:rFonts w:ascii="Palatino" w:hAnsi="Palatino"/>
          <w:sz w:val="20"/>
          <w:szCs w:val="20"/>
          <w:lang w:val="es-ES"/>
        </w:rPr>
        <w:t>autores</w:t>
      </w:r>
      <w:r w:rsidR="00657FAE" w:rsidRPr="00657FAE">
        <w:rPr>
          <w:rFonts w:ascii="Palatino Linotype" w:eastAsia="Palatino Linotype" w:hAnsi="Palatino Linotype" w:cs="Palatino Linotype"/>
          <w:color w:val="231F20"/>
          <w:spacing w:val="-2"/>
          <w:sz w:val="20"/>
          <w:szCs w:val="20"/>
          <w:lang w:val="es-ES"/>
        </w:rPr>
        <w:t xml:space="preserve"> (</w:t>
      </w:r>
      <w:r w:rsidRPr="00F0471F">
        <w:rPr>
          <w:rFonts w:ascii="Palatino Linotype" w:eastAsia="Palatino Linotype" w:hAnsi="Palatino Linotype" w:cs="Palatino Linotype"/>
          <w:color w:val="231F20"/>
          <w:spacing w:val="-2"/>
          <w:sz w:val="20"/>
          <w:szCs w:val="20"/>
          <w:lang w:val="es-ES"/>
        </w:rPr>
        <w:t>), responder a la reforma promovida desde Bolonia supone hacer frente a numerosos retos que tienen que ver, entre otras cuestiones, con el desarrollo organizativo de las estructuras, la gestión del cambio, el tipo de liderazgo, el plan de estudios, las culturas universitarias, la formación docente, las condiciones laborales y los sistemas de evaluación de la calidad docente. Comprobamos, no obstante, que entre los numerosos factores que suelen destacarse siempre hay uno que figura de manera reiterada: el profesorado. Los docentes constituyen un factor clave para el éxito en cualquier proceso de mejora educativa (</w:t>
      </w:r>
      <w:proofErr w:type="spellStart"/>
      <w:r w:rsidRPr="00F0471F">
        <w:rPr>
          <w:rFonts w:ascii="Palatino Linotype" w:eastAsia="Palatino Linotype" w:hAnsi="Palatino Linotype" w:cs="Palatino Linotype"/>
          <w:color w:val="231F20"/>
          <w:spacing w:val="-2"/>
          <w:sz w:val="20"/>
          <w:szCs w:val="20"/>
          <w:lang w:val="es-ES"/>
        </w:rPr>
        <w:t>Hallinger</w:t>
      </w:r>
      <w:proofErr w:type="spellEnd"/>
      <w:r w:rsidRPr="00F0471F">
        <w:rPr>
          <w:rFonts w:ascii="Palatino Linotype" w:eastAsia="Palatino Linotype" w:hAnsi="Palatino Linotype" w:cs="Palatino Linotype"/>
          <w:color w:val="231F20"/>
          <w:spacing w:val="-2"/>
          <w:sz w:val="20"/>
          <w:szCs w:val="20"/>
          <w:lang w:val="es-ES"/>
        </w:rPr>
        <w:t xml:space="preserve">, </w:t>
      </w:r>
      <w:proofErr w:type="spellStart"/>
      <w:r w:rsidRPr="00F0471F">
        <w:rPr>
          <w:rFonts w:ascii="Palatino Linotype" w:eastAsia="Palatino Linotype" w:hAnsi="Palatino Linotype" w:cs="Palatino Linotype"/>
          <w:color w:val="231F20"/>
          <w:spacing w:val="-2"/>
          <w:sz w:val="20"/>
          <w:szCs w:val="20"/>
          <w:lang w:val="es-ES"/>
        </w:rPr>
        <w:t>Heck</w:t>
      </w:r>
      <w:proofErr w:type="spellEnd"/>
      <w:r w:rsidR="00560AF9">
        <w:rPr>
          <w:rFonts w:ascii="Palatino Linotype" w:eastAsia="Palatino Linotype" w:hAnsi="Palatino Linotype" w:cs="Palatino Linotype"/>
          <w:color w:val="231F20"/>
          <w:spacing w:val="-2"/>
          <w:sz w:val="20"/>
          <w:szCs w:val="20"/>
          <w:lang w:val="es-ES"/>
        </w:rPr>
        <w:t>&amp;</w:t>
      </w:r>
      <w:r w:rsidRPr="00F0471F">
        <w:rPr>
          <w:rFonts w:ascii="Palatino Linotype" w:eastAsia="Palatino Linotype" w:hAnsi="Palatino Linotype" w:cs="Palatino Linotype"/>
          <w:color w:val="231F20"/>
          <w:spacing w:val="-2"/>
          <w:sz w:val="20"/>
          <w:szCs w:val="20"/>
          <w:lang w:val="es-ES"/>
        </w:rPr>
        <w:t xml:space="preserve"> Murphy, 2014).</w:t>
      </w:r>
    </w:p>
    <w:p w:rsidR="00F0471F" w:rsidRPr="00F0471F" w:rsidRDefault="00F0471F" w:rsidP="00F0471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0471F">
        <w:rPr>
          <w:rFonts w:ascii="Palatino Linotype" w:eastAsia="Palatino Linotype" w:hAnsi="Palatino Linotype" w:cs="Palatino Linotype"/>
          <w:color w:val="231F20"/>
          <w:spacing w:val="-2"/>
          <w:sz w:val="20"/>
          <w:szCs w:val="20"/>
          <w:lang w:val="es-ES"/>
        </w:rPr>
        <w:t>Por esta razón, hemos profundiza</w:t>
      </w:r>
      <w:r w:rsidR="00640143">
        <w:rPr>
          <w:rFonts w:ascii="Palatino Linotype" w:eastAsia="Palatino Linotype" w:hAnsi="Palatino Linotype" w:cs="Palatino Linotype"/>
          <w:color w:val="231F20"/>
          <w:spacing w:val="-2"/>
          <w:sz w:val="20"/>
          <w:szCs w:val="20"/>
          <w:lang w:val="es-ES"/>
        </w:rPr>
        <w:t>do</w:t>
      </w:r>
      <w:r w:rsidRPr="00F0471F">
        <w:rPr>
          <w:rFonts w:ascii="Palatino Linotype" w:eastAsia="Palatino Linotype" w:hAnsi="Palatino Linotype" w:cs="Palatino Linotype"/>
          <w:color w:val="231F20"/>
          <w:spacing w:val="-2"/>
          <w:sz w:val="20"/>
          <w:szCs w:val="20"/>
          <w:lang w:val="es-ES"/>
        </w:rPr>
        <w:t xml:space="preserve"> en las percepciones que tienen los docentes de distintas universidades españolas sobre el enfoque por competencias, los obstáculos encontrados en su incorporación y el impacto que, en su opinión, han tenido las acciones emprendidas en estos últimos años.</w:t>
      </w:r>
    </w:p>
    <w:p w:rsidR="00F0471F" w:rsidRPr="00F0471F" w:rsidRDefault="00F0471F" w:rsidP="00F0471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8C0F1D" w:rsidRPr="00752292" w:rsidRDefault="00C252A0" w:rsidP="009A4B42">
      <w:pPr>
        <w:spacing w:after="0" w:line="240" w:lineRule="auto"/>
        <w:ind w:right="38"/>
        <w:jc w:val="center"/>
        <w:rPr>
          <w:rFonts w:ascii="Gill Sans MT" w:eastAsia="Gill Sans MT" w:hAnsi="Gill Sans MT" w:cs="Gill Sans MT"/>
          <w:sz w:val="20"/>
          <w:szCs w:val="20"/>
          <w:lang w:val="es-ES"/>
        </w:rPr>
      </w:pPr>
      <w:r>
        <w:rPr>
          <w:rFonts w:ascii="Gill Sans MT" w:eastAsia="Gill Sans MT" w:hAnsi="Gill Sans MT" w:cs="Gill Sans MT"/>
          <w:b/>
          <w:bCs/>
          <w:color w:val="231F20"/>
          <w:sz w:val="20"/>
          <w:szCs w:val="20"/>
          <w:lang w:val="es-ES"/>
        </w:rPr>
        <w:t>Método</w:t>
      </w:r>
    </w:p>
    <w:p w:rsidR="008C0F1D" w:rsidRPr="00752292" w:rsidRDefault="008C0F1D" w:rsidP="009A4B42">
      <w:pPr>
        <w:spacing w:after="0" w:line="240" w:lineRule="exact"/>
        <w:ind w:right="38"/>
        <w:rPr>
          <w:sz w:val="24"/>
          <w:szCs w:val="24"/>
          <w:lang w:val="es-ES"/>
        </w:rPr>
      </w:pPr>
    </w:p>
    <w:p w:rsidR="008C0F1D" w:rsidRPr="00752292" w:rsidRDefault="008C0F1D" w:rsidP="009A4B42">
      <w:pPr>
        <w:spacing w:after="0" w:line="240" w:lineRule="auto"/>
        <w:ind w:left="119" w:right="38"/>
        <w:jc w:val="both"/>
        <w:rPr>
          <w:rFonts w:ascii="Gill Sans MT" w:eastAsia="Gill Sans MT" w:hAnsi="Gill Sans MT" w:cs="Gill Sans MT"/>
          <w:sz w:val="20"/>
          <w:szCs w:val="20"/>
          <w:lang w:val="es-ES"/>
        </w:rPr>
      </w:pPr>
      <w:r w:rsidRPr="00752292">
        <w:rPr>
          <w:rFonts w:ascii="Gill Sans MT" w:eastAsia="Gill Sans MT" w:hAnsi="Gill Sans MT" w:cs="Gill Sans MT"/>
          <w:b/>
          <w:bCs/>
          <w:color w:val="231F20"/>
          <w:sz w:val="20"/>
          <w:szCs w:val="20"/>
          <w:lang w:val="es-ES"/>
        </w:rPr>
        <w:t>Objeti</w:t>
      </w:r>
      <w:r w:rsidRPr="00752292">
        <w:rPr>
          <w:rFonts w:ascii="Gill Sans MT" w:eastAsia="Gill Sans MT" w:hAnsi="Gill Sans MT" w:cs="Gill Sans MT"/>
          <w:b/>
          <w:bCs/>
          <w:color w:val="231F20"/>
          <w:spacing w:val="-4"/>
          <w:sz w:val="20"/>
          <w:szCs w:val="20"/>
          <w:lang w:val="es-ES"/>
        </w:rPr>
        <w:t>v</w:t>
      </w:r>
      <w:r w:rsidRPr="00752292">
        <w:rPr>
          <w:rFonts w:ascii="Gill Sans MT" w:eastAsia="Gill Sans MT" w:hAnsi="Gill Sans MT" w:cs="Gill Sans MT"/>
          <w:b/>
          <w:bCs/>
          <w:color w:val="231F20"/>
          <w:sz w:val="20"/>
          <w:szCs w:val="20"/>
          <w:lang w:val="es-ES"/>
        </w:rPr>
        <w:t>os</w:t>
      </w:r>
    </w:p>
    <w:p w:rsidR="008C0F1D" w:rsidRPr="00752292" w:rsidRDefault="008C0F1D" w:rsidP="009A4B42">
      <w:pPr>
        <w:spacing w:after="0" w:line="240" w:lineRule="exact"/>
        <w:ind w:right="38"/>
        <w:rPr>
          <w:sz w:val="24"/>
          <w:szCs w:val="24"/>
          <w:lang w:val="es-ES"/>
        </w:rPr>
      </w:pP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lastRenderedPageBreak/>
        <w:t>1.</w:t>
      </w:r>
      <w:r w:rsidRPr="00BB6A23">
        <w:rPr>
          <w:rFonts w:ascii="Palatino Linotype" w:eastAsia="Palatino Linotype" w:hAnsi="Palatino Linotype" w:cs="Palatino Linotype"/>
          <w:color w:val="231F20"/>
          <w:spacing w:val="-2"/>
          <w:sz w:val="20"/>
          <w:szCs w:val="20"/>
          <w:lang w:val="es-ES"/>
        </w:rPr>
        <w:tab/>
        <w:t>Estudiar las opiniones del profesorado universitario acerca del enfoque por competencias una vez finalizados los procesos de seguimiento y verificación de las titulaciones.</w:t>
      </w:r>
    </w:p>
    <w:p w:rsidR="002516B0"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2.</w:t>
      </w:r>
      <w:r w:rsidRPr="00BB6A23">
        <w:rPr>
          <w:rFonts w:ascii="Palatino Linotype" w:eastAsia="Palatino Linotype" w:hAnsi="Palatino Linotype" w:cs="Palatino Linotype"/>
          <w:color w:val="231F20"/>
          <w:spacing w:val="-2"/>
          <w:sz w:val="20"/>
          <w:szCs w:val="20"/>
          <w:lang w:val="es-ES"/>
        </w:rPr>
        <w:tab/>
        <w:t>Analizar los obstáculos y el impacto que, en opinión de los docentes, tiene la incorporación del enfoque por competencias a la formación universitaria</w:t>
      </w:r>
      <w:r w:rsidR="002516B0">
        <w:rPr>
          <w:rFonts w:ascii="Palatino Linotype" w:eastAsia="Palatino Linotype" w:hAnsi="Palatino Linotype" w:cs="Palatino Linotype"/>
          <w:color w:val="231F20"/>
          <w:spacing w:val="-2"/>
          <w:sz w:val="20"/>
          <w:szCs w:val="20"/>
          <w:lang w:val="es-ES"/>
        </w:rPr>
        <w:t>.</w:t>
      </w:r>
    </w:p>
    <w:p w:rsidR="009171D5" w:rsidRPr="002516B0" w:rsidRDefault="009171D5" w:rsidP="009A4B42">
      <w:pPr>
        <w:spacing w:after="0" w:line="240" w:lineRule="auto"/>
        <w:ind w:left="120" w:right="38"/>
        <w:jc w:val="both"/>
        <w:rPr>
          <w:rFonts w:eastAsia="Gill Sans MT" w:cs="Gill Sans MT"/>
          <w:b/>
          <w:bCs/>
          <w:color w:val="231F20"/>
          <w:spacing w:val="-15"/>
          <w:sz w:val="24"/>
          <w:szCs w:val="24"/>
          <w:lang w:val="es-ES"/>
        </w:rPr>
      </w:pPr>
    </w:p>
    <w:p w:rsidR="008C0F1D" w:rsidRPr="000A6B10" w:rsidRDefault="008C0F1D" w:rsidP="009A4B42">
      <w:pPr>
        <w:spacing w:after="0" w:line="240" w:lineRule="auto"/>
        <w:ind w:left="120" w:right="38"/>
        <w:jc w:val="both"/>
        <w:rPr>
          <w:rFonts w:ascii="Gill Sans MT" w:eastAsia="Gill Sans MT" w:hAnsi="Gill Sans MT" w:cs="Gill Sans MT"/>
          <w:sz w:val="20"/>
          <w:szCs w:val="20"/>
          <w:lang w:val="es-ES"/>
        </w:rPr>
      </w:pPr>
      <w:r w:rsidRPr="000A6B10">
        <w:rPr>
          <w:rFonts w:ascii="Gill Sans MT" w:eastAsia="Gill Sans MT" w:hAnsi="Gill Sans MT" w:cs="Gill Sans MT"/>
          <w:b/>
          <w:bCs/>
          <w:spacing w:val="-15"/>
          <w:sz w:val="20"/>
          <w:szCs w:val="20"/>
          <w:lang w:val="es-ES"/>
        </w:rPr>
        <w:t>P</w:t>
      </w:r>
      <w:r w:rsidRPr="000A6B10">
        <w:rPr>
          <w:rFonts w:ascii="Gill Sans MT" w:eastAsia="Gill Sans MT" w:hAnsi="Gill Sans MT" w:cs="Gill Sans MT"/>
          <w:b/>
          <w:bCs/>
          <w:sz w:val="20"/>
          <w:szCs w:val="20"/>
          <w:lang w:val="es-ES"/>
        </w:rPr>
        <w:t>o</w:t>
      </w:r>
      <w:r w:rsidRPr="000A6B10">
        <w:rPr>
          <w:rFonts w:ascii="Gill Sans MT" w:eastAsia="Gill Sans MT" w:hAnsi="Gill Sans MT" w:cs="Gill Sans MT"/>
          <w:b/>
          <w:bCs/>
          <w:spacing w:val="-2"/>
          <w:sz w:val="20"/>
          <w:szCs w:val="20"/>
          <w:lang w:val="es-ES"/>
        </w:rPr>
        <w:t>b</w:t>
      </w:r>
      <w:r w:rsidRPr="000A6B10">
        <w:rPr>
          <w:rFonts w:ascii="Gill Sans MT" w:eastAsia="Gill Sans MT" w:hAnsi="Gill Sans MT" w:cs="Gill Sans MT"/>
          <w:b/>
          <w:bCs/>
          <w:sz w:val="20"/>
          <w:szCs w:val="20"/>
          <w:lang w:val="es-ES"/>
        </w:rPr>
        <w:t>lación</w:t>
      </w:r>
      <w:r w:rsidR="000A6B10" w:rsidRPr="000A6B10">
        <w:rPr>
          <w:rFonts w:ascii="Gill Sans MT" w:eastAsia="Gill Sans MT" w:hAnsi="Gill Sans MT" w:cs="Gill Sans MT"/>
          <w:b/>
          <w:bCs/>
          <w:sz w:val="20"/>
          <w:szCs w:val="20"/>
          <w:lang w:val="es-ES"/>
        </w:rPr>
        <w:t xml:space="preserve"> </w:t>
      </w:r>
      <w:r w:rsidRPr="000A6B10">
        <w:rPr>
          <w:rFonts w:ascii="Gill Sans MT" w:eastAsia="Gill Sans MT" w:hAnsi="Gill Sans MT" w:cs="Gill Sans MT"/>
          <w:b/>
          <w:bCs/>
          <w:sz w:val="20"/>
          <w:szCs w:val="20"/>
          <w:lang w:val="es-ES"/>
        </w:rPr>
        <w:t>y</w:t>
      </w:r>
      <w:r w:rsidR="000A6B10" w:rsidRPr="000A6B10">
        <w:rPr>
          <w:rFonts w:ascii="Gill Sans MT" w:eastAsia="Gill Sans MT" w:hAnsi="Gill Sans MT" w:cs="Gill Sans MT"/>
          <w:b/>
          <w:bCs/>
          <w:sz w:val="20"/>
          <w:szCs w:val="20"/>
          <w:lang w:val="es-ES"/>
        </w:rPr>
        <w:t xml:space="preserve"> </w:t>
      </w:r>
      <w:r w:rsidRPr="000A6B10">
        <w:rPr>
          <w:rFonts w:ascii="Gill Sans MT" w:eastAsia="Gill Sans MT" w:hAnsi="Gill Sans MT" w:cs="Gill Sans MT"/>
          <w:b/>
          <w:bCs/>
          <w:sz w:val="20"/>
          <w:szCs w:val="20"/>
          <w:lang w:val="es-ES"/>
        </w:rPr>
        <w:t>Muestra</w:t>
      </w:r>
    </w:p>
    <w:p w:rsidR="008C0F1D" w:rsidRPr="00752292" w:rsidRDefault="008C0F1D" w:rsidP="009A4B42">
      <w:pPr>
        <w:spacing w:after="0" w:line="240" w:lineRule="exact"/>
        <w:ind w:right="38"/>
        <w:rPr>
          <w:sz w:val="24"/>
          <w:szCs w:val="24"/>
          <w:lang w:val="es-ES"/>
        </w:rPr>
      </w:pPr>
    </w:p>
    <w:p w:rsidR="00CA063E" w:rsidRDefault="00BB6A23"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En el estudio han participado 43 </w:t>
      </w:r>
      <w:r w:rsidR="006927FE">
        <w:rPr>
          <w:rFonts w:ascii="Palatino Linotype" w:eastAsia="Palatino Linotype" w:hAnsi="Palatino Linotype" w:cs="Palatino Linotype"/>
          <w:color w:val="231F20"/>
          <w:spacing w:val="-2"/>
          <w:sz w:val="20"/>
          <w:szCs w:val="20"/>
          <w:lang w:val="es-ES"/>
        </w:rPr>
        <w:t>docentes</w:t>
      </w:r>
      <w:r w:rsidRPr="00BB6A23">
        <w:rPr>
          <w:rFonts w:ascii="Palatino Linotype" w:eastAsia="Palatino Linotype" w:hAnsi="Palatino Linotype" w:cs="Palatino Linotype"/>
          <w:color w:val="231F20"/>
          <w:spacing w:val="-2"/>
          <w:sz w:val="20"/>
          <w:szCs w:val="20"/>
          <w:lang w:val="es-ES"/>
        </w:rPr>
        <w:t xml:space="preserve"> pertenecientes a seis universidades españolas (Universidad Rovira y </w:t>
      </w:r>
      <w:proofErr w:type="spellStart"/>
      <w:r w:rsidRPr="00BB6A23">
        <w:rPr>
          <w:rFonts w:ascii="Palatino Linotype" w:eastAsia="Palatino Linotype" w:hAnsi="Palatino Linotype" w:cs="Palatino Linotype"/>
          <w:color w:val="231F20"/>
          <w:spacing w:val="-2"/>
          <w:sz w:val="20"/>
          <w:szCs w:val="20"/>
          <w:lang w:val="es-ES"/>
        </w:rPr>
        <w:t>Virgili</w:t>
      </w:r>
      <w:proofErr w:type="spellEnd"/>
      <w:r w:rsidRPr="00BB6A23">
        <w:rPr>
          <w:rFonts w:ascii="Palatino Linotype" w:eastAsia="Palatino Linotype" w:hAnsi="Palatino Linotype" w:cs="Palatino Linotype"/>
          <w:color w:val="231F20"/>
          <w:spacing w:val="-2"/>
          <w:sz w:val="20"/>
          <w:szCs w:val="20"/>
          <w:lang w:val="es-ES"/>
        </w:rPr>
        <w:t xml:space="preserve">, Universidad Autónoma de Barcelona, Universidad de Barcelona, Universidad de las Islas Baleares, Universidad de Granada y Universidad </w:t>
      </w:r>
      <w:proofErr w:type="spellStart"/>
      <w:r w:rsidRPr="00BB6A23">
        <w:rPr>
          <w:rFonts w:ascii="Palatino Linotype" w:eastAsia="Palatino Linotype" w:hAnsi="Palatino Linotype" w:cs="Palatino Linotype"/>
          <w:color w:val="231F20"/>
          <w:spacing w:val="-2"/>
          <w:sz w:val="20"/>
          <w:szCs w:val="20"/>
          <w:lang w:val="es-ES"/>
        </w:rPr>
        <w:t>Oberta</w:t>
      </w:r>
      <w:proofErr w:type="spellEnd"/>
      <w:r w:rsidRPr="00BB6A23">
        <w:rPr>
          <w:rFonts w:ascii="Palatino Linotype" w:eastAsia="Palatino Linotype" w:hAnsi="Palatino Linotype" w:cs="Palatino Linotype"/>
          <w:color w:val="231F20"/>
          <w:spacing w:val="-2"/>
          <w:sz w:val="20"/>
          <w:szCs w:val="20"/>
          <w:lang w:val="es-ES"/>
        </w:rPr>
        <w:t xml:space="preserve"> de Catalunya). Estos </w:t>
      </w:r>
      <w:r w:rsidR="006927FE">
        <w:rPr>
          <w:rFonts w:ascii="Palatino Linotype" w:eastAsia="Palatino Linotype" w:hAnsi="Palatino Linotype" w:cs="Palatino Linotype"/>
          <w:color w:val="231F20"/>
          <w:spacing w:val="-2"/>
          <w:sz w:val="20"/>
          <w:szCs w:val="20"/>
          <w:lang w:val="es-ES"/>
        </w:rPr>
        <w:t>profesores</w:t>
      </w:r>
      <w:r w:rsidRPr="00BB6A23">
        <w:rPr>
          <w:rFonts w:ascii="Palatino Linotype" w:eastAsia="Palatino Linotype" w:hAnsi="Palatino Linotype" w:cs="Palatino Linotype"/>
          <w:color w:val="231F20"/>
          <w:spacing w:val="-2"/>
          <w:sz w:val="20"/>
          <w:szCs w:val="20"/>
          <w:lang w:val="es-ES"/>
        </w:rPr>
        <w:t xml:space="preserve"> imparten docencia en distintos centros (Facultad de Farmacia; Facultad Ciencias de la Educación y Formación del Profesorado; Facultad de Psicología; Escuela Superior Técnica de Ingeniería; Facultad de Ciencias; Escuela Politécnica Superior; </w:t>
      </w:r>
      <w:r w:rsidR="00CA063E">
        <w:rPr>
          <w:rFonts w:ascii="Palatino Linotype" w:eastAsia="Palatino Linotype" w:hAnsi="Palatino Linotype" w:cs="Palatino Linotype"/>
          <w:color w:val="231F20"/>
          <w:spacing w:val="-2"/>
          <w:sz w:val="20"/>
          <w:szCs w:val="20"/>
          <w:lang w:val="es-ES"/>
        </w:rPr>
        <w:t xml:space="preserve"> </w:t>
      </w:r>
      <w:r w:rsidRPr="00BB6A23">
        <w:rPr>
          <w:rFonts w:ascii="Palatino Linotype" w:eastAsia="Palatino Linotype" w:hAnsi="Palatino Linotype" w:cs="Palatino Linotype"/>
          <w:color w:val="231F20"/>
          <w:spacing w:val="-2"/>
          <w:sz w:val="20"/>
          <w:szCs w:val="20"/>
          <w:lang w:val="es-ES"/>
        </w:rPr>
        <w:t xml:space="preserve">Centro de Estudios Informáticos, Multimedia y Telecomunicación) y </w:t>
      </w:r>
      <w:r w:rsidR="006927FE">
        <w:rPr>
          <w:rFonts w:ascii="Palatino Linotype" w:eastAsia="Palatino Linotype" w:hAnsi="Palatino Linotype" w:cs="Palatino Linotype"/>
          <w:color w:val="231F20"/>
          <w:spacing w:val="-2"/>
          <w:sz w:val="20"/>
          <w:szCs w:val="20"/>
          <w:lang w:val="es-ES"/>
        </w:rPr>
        <w:t>titulaciones</w:t>
      </w:r>
      <w:r w:rsidRPr="00BB6A23">
        <w:rPr>
          <w:rFonts w:ascii="Palatino Linotype" w:eastAsia="Palatino Linotype" w:hAnsi="Palatino Linotype" w:cs="Palatino Linotype"/>
          <w:color w:val="231F20"/>
          <w:spacing w:val="-2"/>
          <w:sz w:val="20"/>
          <w:szCs w:val="20"/>
          <w:lang w:val="es-ES"/>
        </w:rPr>
        <w:t xml:space="preserve"> de grado. </w:t>
      </w:r>
    </w:p>
    <w:p w:rsidR="00CA063E" w:rsidRDefault="00CA063E"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Estos docentes conformaron </w:t>
      </w:r>
      <w:r w:rsidRPr="00BB6A23">
        <w:rPr>
          <w:rFonts w:ascii="Palatino Linotype" w:eastAsia="Palatino Linotype" w:hAnsi="Palatino Linotype" w:cs="Palatino Linotype"/>
          <w:color w:val="231F20"/>
          <w:spacing w:val="-2"/>
          <w:sz w:val="20"/>
          <w:szCs w:val="20"/>
          <w:lang w:val="es-ES"/>
        </w:rPr>
        <w:t xml:space="preserve">seis grupos de discusión (uno por universidad participante) </w:t>
      </w:r>
      <w:r>
        <w:rPr>
          <w:rFonts w:ascii="Palatino Linotype" w:eastAsia="Palatino Linotype" w:hAnsi="Palatino Linotype" w:cs="Palatino Linotype"/>
          <w:color w:val="231F20"/>
          <w:spacing w:val="-2"/>
          <w:sz w:val="20"/>
          <w:szCs w:val="20"/>
          <w:lang w:val="es-ES"/>
        </w:rPr>
        <w:t>integrados p</w:t>
      </w:r>
      <w:r w:rsidRPr="00BB6A23">
        <w:rPr>
          <w:rFonts w:ascii="Palatino Linotype" w:eastAsia="Palatino Linotype" w:hAnsi="Palatino Linotype" w:cs="Palatino Linotype"/>
          <w:color w:val="231F20"/>
          <w:spacing w:val="-2"/>
          <w:sz w:val="20"/>
          <w:szCs w:val="20"/>
          <w:lang w:val="es-ES"/>
        </w:rPr>
        <w:t xml:space="preserve">or 4 a 10 miembros. Los </w:t>
      </w:r>
      <w:r>
        <w:rPr>
          <w:rFonts w:ascii="Palatino Linotype" w:eastAsia="Palatino Linotype" w:hAnsi="Palatino Linotype" w:cs="Palatino Linotype"/>
          <w:color w:val="231F20"/>
          <w:spacing w:val="-2"/>
          <w:sz w:val="20"/>
          <w:szCs w:val="20"/>
          <w:lang w:val="es-ES"/>
        </w:rPr>
        <w:t>participantes</w:t>
      </w:r>
      <w:r w:rsidRPr="00BB6A23">
        <w:rPr>
          <w:rFonts w:ascii="Palatino Linotype" w:eastAsia="Palatino Linotype" w:hAnsi="Palatino Linotype" w:cs="Palatino Linotype"/>
          <w:color w:val="231F20"/>
          <w:spacing w:val="-2"/>
          <w:sz w:val="20"/>
          <w:szCs w:val="20"/>
          <w:lang w:val="es-ES"/>
        </w:rPr>
        <w:t xml:space="preserve"> de estos grupos han sido coordinadores de titulaciones y profesorado</w:t>
      </w:r>
      <w:r>
        <w:rPr>
          <w:rFonts w:ascii="Palatino Linotype" w:eastAsia="Palatino Linotype" w:hAnsi="Palatino Linotype" w:cs="Palatino Linotype"/>
          <w:color w:val="231F20"/>
          <w:spacing w:val="-2"/>
          <w:sz w:val="20"/>
          <w:szCs w:val="20"/>
          <w:lang w:val="es-ES"/>
        </w:rPr>
        <w:t xml:space="preserve"> </w:t>
      </w:r>
      <w:r w:rsidRPr="00BB6A23">
        <w:rPr>
          <w:rFonts w:ascii="Palatino Linotype" w:eastAsia="Palatino Linotype" w:hAnsi="Palatino Linotype" w:cs="Palatino Linotype"/>
          <w:color w:val="231F20"/>
          <w:spacing w:val="-2"/>
          <w:sz w:val="20"/>
          <w:szCs w:val="20"/>
          <w:lang w:val="es-ES"/>
        </w:rPr>
        <w:t>recomendado por distintas autoridades académicas</w:t>
      </w:r>
      <w:r w:rsidRPr="004D3F5F">
        <w:rPr>
          <w:rFonts w:ascii="Palatino Linotype" w:eastAsia="Palatino Linotype" w:hAnsi="Palatino Linotype" w:cs="Palatino Linotype"/>
          <w:color w:val="231F20"/>
          <w:spacing w:val="-2"/>
          <w:sz w:val="20"/>
          <w:szCs w:val="20"/>
          <w:lang w:val="es-ES"/>
        </w:rPr>
        <w:t xml:space="preserve"> </w:t>
      </w:r>
      <w:r w:rsidRPr="00BB6A23">
        <w:rPr>
          <w:rFonts w:ascii="Palatino Linotype" w:eastAsia="Palatino Linotype" w:hAnsi="Palatino Linotype" w:cs="Palatino Linotype"/>
          <w:color w:val="231F20"/>
          <w:spacing w:val="-2"/>
          <w:sz w:val="20"/>
          <w:szCs w:val="20"/>
          <w:lang w:val="es-ES"/>
        </w:rPr>
        <w:t>de l</w:t>
      </w:r>
      <w:r>
        <w:rPr>
          <w:rFonts w:ascii="Palatino Linotype" w:eastAsia="Palatino Linotype" w:hAnsi="Palatino Linotype" w:cs="Palatino Linotype"/>
          <w:color w:val="231F20"/>
          <w:spacing w:val="-2"/>
          <w:sz w:val="20"/>
          <w:szCs w:val="20"/>
          <w:lang w:val="es-ES"/>
        </w:rPr>
        <w:t>as universidades participantes. El grupo debía ser heterogéneo en cuanto a experiencia docente, edad, sexo y número de cursos impartidos en grado.</w:t>
      </w:r>
    </w:p>
    <w:p w:rsidR="002516B0" w:rsidRDefault="00BB6A23"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Sus edades</w:t>
      </w:r>
      <w:r w:rsidR="00CA063E">
        <w:rPr>
          <w:rFonts w:ascii="Palatino Linotype" w:eastAsia="Palatino Linotype" w:hAnsi="Palatino Linotype" w:cs="Palatino Linotype"/>
          <w:color w:val="231F20"/>
          <w:spacing w:val="-2"/>
          <w:sz w:val="20"/>
          <w:szCs w:val="20"/>
          <w:lang w:val="es-ES"/>
        </w:rPr>
        <w:t xml:space="preserve">, por tanto, </w:t>
      </w:r>
      <w:r w:rsidRPr="00BB6A23">
        <w:rPr>
          <w:rFonts w:ascii="Palatino Linotype" w:eastAsia="Palatino Linotype" w:hAnsi="Palatino Linotype" w:cs="Palatino Linotype"/>
          <w:color w:val="231F20"/>
          <w:spacing w:val="-2"/>
          <w:sz w:val="20"/>
          <w:szCs w:val="20"/>
          <w:lang w:val="es-ES"/>
        </w:rPr>
        <w:t xml:space="preserve"> están comprendidas entre 29 y 62 años</w:t>
      </w:r>
      <w:r w:rsidR="002F6477">
        <w:rPr>
          <w:rFonts w:ascii="Palatino Linotype" w:eastAsia="Palatino Linotype" w:hAnsi="Palatino Linotype" w:cs="Palatino Linotype"/>
          <w:color w:val="231F20"/>
          <w:spacing w:val="-2"/>
          <w:sz w:val="20"/>
          <w:szCs w:val="20"/>
          <w:lang w:val="es-ES"/>
        </w:rPr>
        <w:t>,</w:t>
      </w:r>
      <w:r w:rsidRPr="00BB6A23">
        <w:rPr>
          <w:rFonts w:ascii="Palatino Linotype" w:eastAsia="Palatino Linotype" w:hAnsi="Palatino Linotype" w:cs="Palatino Linotype"/>
          <w:color w:val="231F20"/>
          <w:spacing w:val="-2"/>
          <w:sz w:val="20"/>
          <w:szCs w:val="20"/>
          <w:lang w:val="es-ES"/>
        </w:rPr>
        <w:t xml:space="preserve"> su experiencia docente oscila entre 5 y 36 años</w:t>
      </w:r>
      <w:r w:rsidR="002F2A4A">
        <w:rPr>
          <w:rFonts w:ascii="Palatino Linotype" w:eastAsia="Palatino Linotype" w:hAnsi="Palatino Linotype" w:cs="Palatino Linotype"/>
          <w:color w:val="231F20"/>
          <w:spacing w:val="-2"/>
          <w:sz w:val="20"/>
          <w:szCs w:val="20"/>
          <w:lang w:val="es-ES"/>
        </w:rPr>
        <w:t xml:space="preserve">, 25 son mujeres y 18 hombres, </w:t>
      </w:r>
      <w:r w:rsidR="002F6477">
        <w:rPr>
          <w:rFonts w:ascii="Palatino Linotype" w:eastAsia="Palatino Linotype" w:hAnsi="Palatino Linotype" w:cs="Palatino Linotype"/>
          <w:color w:val="231F20"/>
          <w:spacing w:val="-2"/>
          <w:sz w:val="20"/>
          <w:szCs w:val="20"/>
          <w:lang w:val="es-ES"/>
        </w:rPr>
        <w:t xml:space="preserve"> y han impartido </w:t>
      </w:r>
      <w:r w:rsidR="00FD0D01">
        <w:rPr>
          <w:rFonts w:ascii="Palatino Linotype" w:eastAsia="Palatino Linotype" w:hAnsi="Palatino Linotype" w:cs="Palatino Linotype"/>
          <w:color w:val="231F20"/>
          <w:spacing w:val="-2"/>
          <w:sz w:val="20"/>
          <w:szCs w:val="20"/>
          <w:lang w:val="es-ES"/>
        </w:rPr>
        <w:t xml:space="preserve">docencia en distintos </w:t>
      </w:r>
      <w:r w:rsidR="002F6477">
        <w:rPr>
          <w:rFonts w:ascii="Palatino Linotype" w:eastAsia="Palatino Linotype" w:hAnsi="Palatino Linotype" w:cs="Palatino Linotype"/>
          <w:color w:val="231F20"/>
          <w:spacing w:val="-2"/>
          <w:sz w:val="20"/>
          <w:szCs w:val="20"/>
          <w:lang w:val="es-ES"/>
        </w:rPr>
        <w:t xml:space="preserve"> cursos de</w:t>
      </w:r>
      <w:r w:rsidR="00FD0D01">
        <w:rPr>
          <w:rFonts w:ascii="Palatino Linotype" w:eastAsia="Palatino Linotype" w:hAnsi="Palatino Linotype" w:cs="Palatino Linotype"/>
          <w:color w:val="231F20"/>
          <w:spacing w:val="-2"/>
          <w:sz w:val="20"/>
          <w:szCs w:val="20"/>
          <w:lang w:val="es-ES"/>
        </w:rPr>
        <w:t>l</w:t>
      </w:r>
      <w:r w:rsidR="002F6477">
        <w:rPr>
          <w:rFonts w:ascii="Palatino Linotype" w:eastAsia="Palatino Linotype" w:hAnsi="Palatino Linotype" w:cs="Palatino Linotype"/>
          <w:color w:val="231F20"/>
          <w:spacing w:val="-2"/>
          <w:sz w:val="20"/>
          <w:szCs w:val="20"/>
          <w:lang w:val="es-ES"/>
        </w:rPr>
        <w:t xml:space="preserve"> grado</w:t>
      </w:r>
      <w:r w:rsidR="008E08E4">
        <w:rPr>
          <w:rFonts w:ascii="Palatino Linotype" w:eastAsia="Palatino Linotype" w:hAnsi="Palatino Linotype" w:cs="Palatino Linotype"/>
          <w:color w:val="231F20"/>
          <w:spacing w:val="-2"/>
          <w:sz w:val="20"/>
          <w:szCs w:val="20"/>
          <w:lang w:val="es-ES"/>
        </w:rPr>
        <w:t>.</w:t>
      </w:r>
    </w:p>
    <w:p w:rsidR="009171D5" w:rsidRPr="009171D5" w:rsidRDefault="009171D5" w:rsidP="009A4B42">
      <w:pPr>
        <w:spacing w:after="0" w:line="240" w:lineRule="auto"/>
        <w:ind w:left="100" w:right="38"/>
        <w:rPr>
          <w:rFonts w:eastAsia="Gill Sans MT" w:cs="Gill Sans MT"/>
          <w:b/>
          <w:bCs/>
          <w:color w:val="231F20"/>
          <w:sz w:val="24"/>
          <w:szCs w:val="24"/>
          <w:lang w:val="es-ES"/>
        </w:rPr>
      </w:pPr>
    </w:p>
    <w:p w:rsidR="008C0F1D" w:rsidRPr="00752292" w:rsidRDefault="008C0F1D" w:rsidP="009A4B42">
      <w:pPr>
        <w:spacing w:after="0" w:line="240" w:lineRule="auto"/>
        <w:ind w:left="100" w:right="38"/>
        <w:rPr>
          <w:rFonts w:ascii="Gill Sans MT" w:eastAsia="Gill Sans MT" w:hAnsi="Gill Sans MT" w:cs="Gill Sans MT"/>
          <w:sz w:val="20"/>
          <w:szCs w:val="20"/>
          <w:lang w:val="es-ES"/>
        </w:rPr>
      </w:pPr>
      <w:r w:rsidRPr="00752292">
        <w:rPr>
          <w:rFonts w:ascii="Gill Sans MT" w:eastAsia="Gill Sans MT" w:hAnsi="Gill Sans MT" w:cs="Gill Sans MT"/>
          <w:b/>
          <w:bCs/>
          <w:color w:val="231F20"/>
          <w:sz w:val="20"/>
          <w:szCs w:val="20"/>
          <w:lang w:val="es-ES"/>
        </w:rPr>
        <w:t>Instrumento</w:t>
      </w:r>
    </w:p>
    <w:p w:rsidR="008C0F1D" w:rsidRPr="00752292" w:rsidRDefault="008C0F1D" w:rsidP="009A4B42">
      <w:pPr>
        <w:spacing w:after="0" w:line="240" w:lineRule="exact"/>
        <w:ind w:right="38"/>
        <w:rPr>
          <w:sz w:val="24"/>
          <w:szCs w:val="24"/>
          <w:lang w:val="es-ES"/>
        </w:rPr>
      </w:pPr>
    </w:p>
    <w:p w:rsidR="002516B0" w:rsidRDefault="00BB6A23"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El estudio, de corte cualitativo, se ha basado en grupos de discusión como técnica de recogida de datos, ya que se considera una buena opción para profundizar en las opiniones/percepciones (Callejo, 2001) del profesorado universitario acerca del enfoque por competencias</w:t>
      </w:r>
      <w:r>
        <w:rPr>
          <w:rFonts w:ascii="Palatino Linotype" w:eastAsia="Palatino Linotype" w:hAnsi="Palatino Linotype" w:cs="Palatino Linotype"/>
          <w:color w:val="231F20"/>
          <w:spacing w:val="-2"/>
          <w:sz w:val="20"/>
          <w:szCs w:val="20"/>
          <w:lang w:val="es-ES"/>
        </w:rPr>
        <w:t>.</w:t>
      </w:r>
    </w:p>
    <w:p w:rsidR="009171D5" w:rsidRPr="009171D5" w:rsidRDefault="009171D5" w:rsidP="009A4B42">
      <w:pPr>
        <w:spacing w:after="0" w:line="240" w:lineRule="auto"/>
        <w:ind w:left="120" w:right="38"/>
        <w:rPr>
          <w:rFonts w:eastAsia="Gill Sans MT" w:cs="Gill Sans MT"/>
          <w:b/>
          <w:bCs/>
          <w:color w:val="231F20"/>
          <w:sz w:val="24"/>
          <w:szCs w:val="24"/>
          <w:lang w:val="es-ES"/>
        </w:rPr>
      </w:pPr>
    </w:p>
    <w:p w:rsidR="008C0F1D" w:rsidRPr="00752292" w:rsidRDefault="008C0F1D" w:rsidP="009A4B42">
      <w:pPr>
        <w:spacing w:after="0" w:line="240" w:lineRule="auto"/>
        <w:ind w:left="120" w:right="38"/>
        <w:rPr>
          <w:rFonts w:ascii="Gill Sans MT" w:eastAsia="Gill Sans MT" w:hAnsi="Gill Sans MT" w:cs="Gill Sans MT"/>
          <w:sz w:val="20"/>
          <w:szCs w:val="20"/>
          <w:lang w:val="es-ES"/>
        </w:rPr>
      </w:pPr>
      <w:r w:rsidRPr="00752292">
        <w:rPr>
          <w:rFonts w:ascii="Gill Sans MT" w:eastAsia="Gill Sans MT" w:hAnsi="Gill Sans MT" w:cs="Gill Sans MT"/>
          <w:b/>
          <w:bCs/>
          <w:color w:val="231F20"/>
          <w:sz w:val="20"/>
          <w:szCs w:val="20"/>
          <w:lang w:val="es-ES"/>
        </w:rPr>
        <w:t>P</w:t>
      </w:r>
      <w:r w:rsidRPr="00752292">
        <w:rPr>
          <w:rFonts w:ascii="Gill Sans MT" w:eastAsia="Gill Sans MT" w:hAnsi="Gill Sans MT" w:cs="Gill Sans MT"/>
          <w:b/>
          <w:bCs/>
          <w:color w:val="231F20"/>
          <w:spacing w:val="-5"/>
          <w:sz w:val="20"/>
          <w:szCs w:val="20"/>
          <w:lang w:val="es-ES"/>
        </w:rPr>
        <w:t>r</w:t>
      </w:r>
      <w:r w:rsidRPr="00752292">
        <w:rPr>
          <w:rFonts w:ascii="Gill Sans MT" w:eastAsia="Gill Sans MT" w:hAnsi="Gill Sans MT" w:cs="Gill Sans MT"/>
          <w:b/>
          <w:bCs/>
          <w:color w:val="231F20"/>
          <w:sz w:val="20"/>
          <w:szCs w:val="20"/>
          <w:lang w:val="es-ES"/>
        </w:rPr>
        <w:t>ocedimiento</w:t>
      </w:r>
      <w:r w:rsidR="00AF7EC8">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z w:val="20"/>
          <w:szCs w:val="20"/>
          <w:lang w:val="es-ES"/>
        </w:rPr>
        <w:t>de</w:t>
      </w:r>
      <w:r w:rsidR="00AF7EC8">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pacing w:val="-4"/>
          <w:sz w:val="20"/>
          <w:szCs w:val="20"/>
          <w:lang w:val="es-ES"/>
        </w:rPr>
        <w:t>r</w:t>
      </w:r>
      <w:r w:rsidRPr="00752292">
        <w:rPr>
          <w:rFonts w:ascii="Gill Sans MT" w:eastAsia="Gill Sans MT" w:hAnsi="Gill Sans MT" w:cs="Gill Sans MT"/>
          <w:b/>
          <w:bCs/>
          <w:color w:val="231F20"/>
          <w:sz w:val="20"/>
          <w:szCs w:val="20"/>
          <w:lang w:val="es-ES"/>
        </w:rPr>
        <w:t>ec</w:t>
      </w:r>
      <w:r w:rsidRPr="00752292">
        <w:rPr>
          <w:rFonts w:ascii="Gill Sans MT" w:eastAsia="Gill Sans MT" w:hAnsi="Gill Sans MT" w:cs="Gill Sans MT"/>
          <w:b/>
          <w:bCs/>
          <w:color w:val="231F20"/>
          <w:spacing w:val="-3"/>
          <w:sz w:val="20"/>
          <w:szCs w:val="20"/>
          <w:lang w:val="es-ES"/>
        </w:rPr>
        <w:t>o</w:t>
      </w:r>
      <w:r w:rsidRPr="00752292">
        <w:rPr>
          <w:rFonts w:ascii="Gill Sans MT" w:eastAsia="Gill Sans MT" w:hAnsi="Gill Sans MT" w:cs="Gill Sans MT"/>
          <w:b/>
          <w:bCs/>
          <w:color w:val="231F20"/>
          <w:sz w:val="20"/>
          <w:szCs w:val="20"/>
          <w:lang w:val="es-ES"/>
        </w:rPr>
        <w:t>gida</w:t>
      </w:r>
      <w:r w:rsidR="00AF7EC8">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z w:val="20"/>
          <w:szCs w:val="20"/>
          <w:lang w:val="es-ES"/>
        </w:rPr>
        <w:t>y</w:t>
      </w:r>
      <w:r w:rsidR="00AF7EC8">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z w:val="20"/>
          <w:szCs w:val="20"/>
          <w:lang w:val="es-ES"/>
        </w:rPr>
        <w:t>análisis</w:t>
      </w:r>
      <w:r w:rsidR="00AF7EC8">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z w:val="20"/>
          <w:szCs w:val="20"/>
          <w:lang w:val="es-ES"/>
        </w:rPr>
        <w:t>de</w:t>
      </w:r>
      <w:r w:rsidR="00AF7EC8">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z w:val="20"/>
          <w:szCs w:val="20"/>
          <w:lang w:val="es-ES"/>
        </w:rPr>
        <w:t>datos</w:t>
      </w:r>
    </w:p>
    <w:p w:rsidR="008C0F1D" w:rsidRPr="00752292" w:rsidRDefault="008C0F1D" w:rsidP="009A4B42">
      <w:pPr>
        <w:spacing w:after="0" w:line="240" w:lineRule="exact"/>
        <w:ind w:right="38"/>
        <w:rPr>
          <w:sz w:val="24"/>
          <w:szCs w:val="24"/>
          <w:lang w:val="es-ES"/>
        </w:rPr>
      </w:pP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Las sesiones con cada uno de los </w:t>
      </w:r>
      <w:r w:rsidR="00CA063E">
        <w:rPr>
          <w:rFonts w:ascii="Palatino Linotype" w:eastAsia="Palatino Linotype" w:hAnsi="Palatino Linotype" w:cs="Palatino Linotype"/>
          <w:color w:val="231F20"/>
          <w:spacing w:val="-2"/>
          <w:sz w:val="20"/>
          <w:szCs w:val="20"/>
          <w:lang w:val="es-ES"/>
        </w:rPr>
        <w:t xml:space="preserve">seis </w:t>
      </w:r>
      <w:r w:rsidRPr="00BB6A23">
        <w:rPr>
          <w:rFonts w:ascii="Palatino Linotype" w:eastAsia="Palatino Linotype" w:hAnsi="Palatino Linotype" w:cs="Palatino Linotype"/>
          <w:color w:val="231F20"/>
          <w:spacing w:val="-2"/>
          <w:sz w:val="20"/>
          <w:szCs w:val="20"/>
          <w:lang w:val="es-ES"/>
        </w:rPr>
        <w:t xml:space="preserve">grupos de discusión </w:t>
      </w:r>
      <w:r w:rsidR="00CA063E">
        <w:rPr>
          <w:rFonts w:ascii="Palatino Linotype" w:eastAsia="Palatino Linotype" w:hAnsi="Palatino Linotype" w:cs="Palatino Linotype"/>
          <w:color w:val="231F20"/>
          <w:spacing w:val="-2"/>
          <w:sz w:val="20"/>
          <w:szCs w:val="20"/>
          <w:lang w:val="es-ES"/>
        </w:rPr>
        <w:t xml:space="preserve">creados </w:t>
      </w:r>
      <w:r w:rsidRPr="00BB6A23">
        <w:rPr>
          <w:rFonts w:ascii="Palatino Linotype" w:eastAsia="Palatino Linotype" w:hAnsi="Palatino Linotype" w:cs="Palatino Linotype"/>
          <w:color w:val="231F20"/>
          <w:spacing w:val="-2"/>
          <w:sz w:val="20"/>
          <w:szCs w:val="20"/>
          <w:lang w:val="es-ES"/>
        </w:rPr>
        <w:t xml:space="preserve">fueron grabadas y tuvieron una duración aproximada de dos horas. </w:t>
      </w:r>
    </w:p>
    <w:p w:rsidR="004C2211"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La información resultante ha sido transcrita y categorizada siguiendo un proceso deductivo-inductivo </w:t>
      </w:r>
      <w:r w:rsidRPr="00AF7EC8">
        <w:rPr>
          <w:rFonts w:ascii="Palatino Linotype" w:eastAsia="Palatino Linotype" w:hAnsi="Palatino Linotype" w:cs="Palatino Linotype"/>
          <w:spacing w:val="-2"/>
          <w:sz w:val="20"/>
          <w:szCs w:val="20"/>
          <w:lang w:val="es-ES"/>
        </w:rPr>
        <w:t xml:space="preserve">(Strauss </w:t>
      </w:r>
      <w:r w:rsidR="00560AF9" w:rsidRPr="00AF7EC8">
        <w:rPr>
          <w:rFonts w:ascii="Palatino Linotype" w:eastAsia="Palatino Linotype" w:hAnsi="Palatino Linotype" w:cs="Palatino Linotype"/>
          <w:spacing w:val="-2"/>
          <w:sz w:val="20"/>
          <w:szCs w:val="20"/>
          <w:lang w:val="es-ES"/>
        </w:rPr>
        <w:t>&amp;</w:t>
      </w:r>
      <w:r w:rsidR="00AF7EC8">
        <w:rPr>
          <w:rFonts w:ascii="Palatino Linotype" w:eastAsia="Palatino Linotype" w:hAnsi="Palatino Linotype" w:cs="Palatino Linotype"/>
          <w:spacing w:val="-2"/>
          <w:sz w:val="20"/>
          <w:szCs w:val="20"/>
          <w:lang w:val="es-ES"/>
        </w:rPr>
        <w:t xml:space="preserve"> </w:t>
      </w:r>
      <w:proofErr w:type="spellStart"/>
      <w:r w:rsidRPr="00AF7EC8">
        <w:rPr>
          <w:rFonts w:ascii="Palatino Linotype" w:eastAsia="Palatino Linotype" w:hAnsi="Palatino Linotype" w:cs="Palatino Linotype"/>
          <w:spacing w:val="-2"/>
          <w:sz w:val="20"/>
          <w:szCs w:val="20"/>
          <w:lang w:val="es-ES"/>
        </w:rPr>
        <w:t>Corbin</w:t>
      </w:r>
      <w:proofErr w:type="spellEnd"/>
      <w:r w:rsidRPr="00AF7EC8">
        <w:rPr>
          <w:rFonts w:ascii="Palatino Linotype" w:eastAsia="Palatino Linotype" w:hAnsi="Palatino Linotype" w:cs="Palatino Linotype"/>
          <w:spacing w:val="-2"/>
          <w:sz w:val="20"/>
          <w:szCs w:val="20"/>
          <w:lang w:val="es-ES"/>
        </w:rPr>
        <w:t xml:space="preserve">, </w:t>
      </w:r>
      <w:r w:rsidRPr="00BB6A23">
        <w:rPr>
          <w:rFonts w:ascii="Palatino Linotype" w:eastAsia="Palatino Linotype" w:hAnsi="Palatino Linotype" w:cs="Palatino Linotype"/>
          <w:color w:val="231F20"/>
          <w:spacing w:val="-2"/>
          <w:sz w:val="20"/>
          <w:szCs w:val="20"/>
          <w:lang w:val="es-ES"/>
        </w:rPr>
        <w:t>2002), entendido en el doble sentido, ya que se partió de un marco teórico referencial para la definición y sistematización de categorías, al tiempo que éstas se fueron puliendo y matizando tras la lectura reiterada de los documentos. El sistema resultante está compuesto por 36 subcatego</w:t>
      </w:r>
      <w:r w:rsidR="00AA3FB5">
        <w:rPr>
          <w:rFonts w:ascii="Palatino Linotype" w:eastAsia="Palatino Linotype" w:hAnsi="Palatino Linotype" w:cs="Palatino Linotype"/>
          <w:color w:val="231F20"/>
          <w:spacing w:val="-2"/>
          <w:sz w:val="20"/>
          <w:szCs w:val="20"/>
          <w:lang w:val="es-ES"/>
        </w:rPr>
        <w:t>rías, agrupadas en 5 categorías</w:t>
      </w:r>
      <w:r w:rsidR="004C2211">
        <w:rPr>
          <w:rFonts w:ascii="Palatino Linotype" w:eastAsia="Palatino Linotype" w:hAnsi="Palatino Linotype" w:cs="Palatino Linotype"/>
          <w:color w:val="231F20"/>
          <w:spacing w:val="-2"/>
          <w:sz w:val="20"/>
          <w:szCs w:val="20"/>
          <w:lang w:val="es-ES"/>
        </w:rPr>
        <w:t>.</w:t>
      </w:r>
    </w:p>
    <w:p w:rsidR="009171D5" w:rsidRPr="00EE4BBB" w:rsidRDefault="009171D5" w:rsidP="009A4B42">
      <w:pPr>
        <w:spacing w:after="0" w:line="240" w:lineRule="exact"/>
        <w:ind w:left="100" w:right="38" w:firstLine="283"/>
        <w:jc w:val="both"/>
        <w:rPr>
          <w:sz w:val="24"/>
          <w:szCs w:val="24"/>
          <w:lang w:val="es-ES"/>
        </w:rPr>
      </w:pPr>
    </w:p>
    <w:p w:rsidR="008C0F1D" w:rsidRPr="00335917" w:rsidRDefault="00977EE3" w:rsidP="009A4B42">
      <w:pPr>
        <w:spacing w:after="0" w:line="240" w:lineRule="auto"/>
        <w:ind w:right="38"/>
        <w:jc w:val="center"/>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lastRenderedPageBreak/>
        <w:t>Resultados</w:t>
      </w:r>
    </w:p>
    <w:p w:rsidR="008C0F1D" w:rsidRPr="00752292" w:rsidRDefault="008C0F1D" w:rsidP="009A4B42">
      <w:pPr>
        <w:spacing w:after="0" w:line="240" w:lineRule="exact"/>
        <w:ind w:right="38"/>
        <w:rPr>
          <w:sz w:val="24"/>
          <w:szCs w:val="24"/>
          <w:lang w:val="es-ES"/>
        </w:rPr>
      </w:pPr>
    </w:p>
    <w:p w:rsid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A continuación presentamos las categorías y subcategorías extraídas del análisis de la información proporcionada por los docentes universitarios en los distintos grupos de discusión, así como sus frecuencias (Tabla 1). </w:t>
      </w:r>
    </w:p>
    <w:p w:rsidR="00B4698C" w:rsidRDefault="00B4698C" w:rsidP="00B4698C">
      <w:pPr>
        <w:spacing w:after="0" w:line="240" w:lineRule="auto"/>
        <w:ind w:left="100" w:right="38"/>
        <w:rPr>
          <w:rFonts w:ascii="Palatino Linotype" w:eastAsia="Palatino Linotype" w:hAnsi="Palatino Linotype" w:cs="Palatino Linotype"/>
          <w:color w:val="231F20"/>
          <w:spacing w:val="-15"/>
          <w:sz w:val="18"/>
          <w:szCs w:val="18"/>
          <w:lang w:val="es-ES"/>
        </w:rPr>
      </w:pPr>
    </w:p>
    <w:p w:rsidR="00B4698C" w:rsidRPr="00B4698C" w:rsidRDefault="00B4698C" w:rsidP="00B4698C">
      <w:pPr>
        <w:spacing w:after="0" w:line="240" w:lineRule="auto"/>
        <w:ind w:left="100" w:right="38"/>
        <w:rPr>
          <w:rFonts w:ascii="Palatino Linotype" w:eastAsia="Palatino Linotype" w:hAnsi="Palatino Linotype" w:cs="Palatino Linotype"/>
          <w:sz w:val="18"/>
          <w:szCs w:val="18"/>
          <w:lang w:val="es-ES"/>
        </w:rPr>
      </w:pPr>
      <w:r w:rsidRPr="00B4698C">
        <w:rPr>
          <w:rFonts w:ascii="Palatino Linotype" w:eastAsia="Palatino Linotype" w:hAnsi="Palatino Linotype" w:cs="Palatino Linotype"/>
          <w:color w:val="231F20"/>
          <w:spacing w:val="-15"/>
          <w:sz w:val="18"/>
          <w:szCs w:val="18"/>
          <w:lang w:val="es-ES"/>
        </w:rPr>
        <w:t>T</w:t>
      </w:r>
      <w:r w:rsidRPr="00B4698C">
        <w:rPr>
          <w:rFonts w:ascii="Palatino Linotype" w:eastAsia="Palatino Linotype" w:hAnsi="Palatino Linotype" w:cs="Palatino Linotype"/>
          <w:color w:val="231F20"/>
          <w:sz w:val="18"/>
          <w:szCs w:val="18"/>
          <w:lang w:val="es-ES"/>
        </w:rPr>
        <w:t>abla1</w:t>
      </w:r>
    </w:p>
    <w:p w:rsidR="00B4698C" w:rsidRPr="00B4698C" w:rsidRDefault="00B4698C" w:rsidP="00B4698C">
      <w:pPr>
        <w:spacing w:after="0" w:line="180" w:lineRule="exact"/>
        <w:ind w:right="38"/>
        <w:rPr>
          <w:sz w:val="18"/>
          <w:szCs w:val="18"/>
          <w:lang w:val="es-ES"/>
        </w:rPr>
      </w:pPr>
    </w:p>
    <w:p w:rsidR="00B4698C" w:rsidRPr="00B4698C" w:rsidRDefault="00B4698C" w:rsidP="00B4698C">
      <w:pPr>
        <w:spacing w:after="0" w:line="229" w:lineRule="exact"/>
        <w:ind w:left="100" w:right="38"/>
        <w:rPr>
          <w:rFonts w:ascii="Palatino Linotype" w:eastAsia="Palatino Linotype" w:hAnsi="Palatino Linotype" w:cs="Palatino Linotype"/>
          <w:i/>
          <w:color w:val="231F20"/>
          <w:position w:val="-1"/>
          <w:sz w:val="18"/>
          <w:szCs w:val="18"/>
          <w:lang w:val="es-ES"/>
        </w:rPr>
      </w:pPr>
      <w:r w:rsidRPr="00B4698C">
        <w:rPr>
          <w:rFonts w:ascii="Palatino Linotype" w:eastAsia="Palatino Linotype" w:hAnsi="Palatino Linotype" w:cs="Palatino Linotype"/>
          <w:i/>
          <w:color w:val="231F20"/>
          <w:position w:val="-1"/>
          <w:sz w:val="18"/>
          <w:szCs w:val="18"/>
          <w:lang w:val="es-ES"/>
        </w:rPr>
        <w:t>Categorías, subcategorías y frecuencias acerca  del enfoque por competencias</w:t>
      </w:r>
    </w:p>
    <w:p w:rsidR="00F53C30" w:rsidRDefault="00F53C30"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tbl>
      <w:tblPr>
        <w:tblStyle w:val="Tablaconcuadrcula"/>
        <w:tblW w:w="0" w:type="auto"/>
        <w:jc w:val="center"/>
        <w:tblInd w:w="-582" w:type="dxa"/>
        <w:tblBorders>
          <w:left w:val="none" w:sz="0" w:space="0" w:color="auto"/>
          <w:right w:val="none" w:sz="0" w:space="0" w:color="auto"/>
          <w:insideV w:val="none" w:sz="0" w:space="0" w:color="auto"/>
        </w:tblBorders>
        <w:tblLook w:val="04A0"/>
      </w:tblPr>
      <w:tblGrid>
        <w:gridCol w:w="1634"/>
        <w:gridCol w:w="3955"/>
        <w:gridCol w:w="75"/>
        <w:gridCol w:w="1060"/>
      </w:tblGrid>
      <w:tr w:rsidR="00F53C30" w:rsidTr="00D262AE">
        <w:trPr>
          <w:jc w:val="center"/>
        </w:trPr>
        <w:tc>
          <w:tcPr>
            <w:tcW w:w="1634" w:type="dxa"/>
            <w:tcBorders>
              <w:bottom w:val="single" w:sz="4" w:space="0" w:color="auto"/>
            </w:tcBorders>
            <w:shd w:val="clear" w:color="auto" w:fill="BFBFBF" w:themeFill="background1" w:themeFillShade="BF"/>
          </w:tcPr>
          <w:p w:rsidR="00F53C30" w:rsidRPr="00AA7E0D" w:rsidRDefault="00F53C30" w:rsidP="00F53C30">
            <w:pPr>
              <w:spacing w:line="240" w:lineRule="exact"/>
              <w:ind w:right="38"/>
              <w:rPr>
                <w:rFonts w:ascii="Palatino Linotype" w:hAnsi="Palatino Linotype"/>
                <w:b/>
                <w:sz w:val="18"/>
                <w:szCs w:val="18"/>
                <w:lang w:val="es-ES"/>
              </w:rPr>
            </w:pPr>
            <w:r w:rsidRPr="00AA7E0D">
              <w:rPr>
                <w:rFonts w:ascii="Palatino Linotype" w:hAnsi="Palatino Linotype"/>
                <w:b/>
                <w:sz w:val="18"/>
                <w:szCs w:val="18"/>
                <w:lang w:val="es-ES"/>
              </w:rPr>
              <w:t>Ca</w:t>
            </w:r>
            <w:r>
              <w:rPr>
                <w:rFonts w:ascii="Palatino Linotype" w:hAnsi="Palatino Linotype"/>
                <w:b/>
                <w:sz w:val="18"/>
                <w:szCs w:val="18"/>
                <w:lang w:val="es-ES"/>
              </w:rPr>
              <w:t>tegoría</w:t>
            </w:r>
          </w:p>
        </w:tc>
        <w:tc>
          <w:tcPr>
            <w:tcW w:w="3955" w:type="dxa"/>
            <w:tcBorders>
              <w:bottom w:val="single" w:sz="4" w:space="0" w:color="auto"/>
            </w:tcBorders>
            <w:shd w:val="clear" w:color="auto" w:fill="BFBFBF" w:themeFill="background1" w:themeFillShade="BF"/>
          </w:tcPr>
          <w:p w:rsidR="00F53C30" w:rsidRPr="00AA7E0D" w:rsidRDefault="00F53C30" w:rsidP="00F53C30">
            <w:pPr>
              <w:spacing w:line="240" w:lineRule="exact"/>
              <w:ind w:right="38"/>
              <w:jc w:val="center"/>
              <w:rPr>
                <w:rFonts w:ascii="Palatino Linotype" w:hAnsi="Palatino Linotype"/>
                <w:b/>
                <w:sz w:val="18"/>
                <w:szCs w:val="18"/>
                <w:lang w:val="es-ES"/>
              </w:rPr>
            </w:pPr>
            <w:r>
              <w:rPr>
                <w:rFonts w:ascii="Palatino Linotype" w:hAnsi="Palatino Linotype"/>
                <w:b/>
                <w:sz w:val="18"/>
                <w:szCs w:val="18"/>
                <w:lang w:val="es-ES"/>
              </w:rPr>
              <w:t>Subcategorías</w:t>
            </w:r>
          </w:p>
        </w:tc>
        <w:tc>
          <w:tcPr>
            <w:tcW w:w="1135" w:type="dxa"/>
            <w:gridSpan w:val="2"/>
            <w:tcBorders>
              <w:bottom w:val="single" w:sz="4" w:space="0" w:color="auto"/>
            </w:tcBorders>
            <w:shd w:val="clear" w:color="auto" w:fill="BFBFBF" w:themeFill="background1" w:themeFillShade="BF"/>
          </w:tcPr>
          <w:p w:rsidR="00F53C30" w:rsidRPr="00AA7E0D" w:rsidRDefault="00F53C30" w:rsidP="00F53C30">
            <w:pPr>
              <w:spacing w:line="240" w:lineRule="exact"/>
              <w:ind w:right="38"/>
              <w:jc w:val="center"/>
              <w:rPr>
                <w:rFonts w:ascii="Palatino Linotype" w:hAnsi="Palatino Linotype"/>
                <w:b/>
                <w:sz w:val="18"/>
                <w:szCs w:val="18"/>
                <w:lang w:val="es-ES"/>
              </w:rPr>
            </w:pPr>
            <w:r>
              <w:rPr>
                <w:rFonts w:ascii="Palatino Linotype" w:hAnsi="Palatino Linotype"/>
                <w:b/>
                <w:sz w:val="18"/>
                <w:szCs w:val="18"/>
                <w:lang w:val="es-ES"/>
              </w:rPr>
              <w:t>Frecuencia</w:t>
            </w:r>
          </w:p>
        </w:tc>
      </w:tr>
      <w:tr w:rsidR="00D262AE" w:rsidTr="00D262AE">
        <w:trPr>
          <w:jc w:val="center"/>
        </w:trPr>
        <w:tc>
          <w:tcPr>
            <w:tcW w:w="1634" w:type="dxa"/>
            <w:vMerge w:val="restart"/>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Características</w:t>
            </w:r>
          </w:p>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(24)</w:t>
            </w:r>
          </w:p>
        </w:tc>
        <w:tc>
          <w:tcPr>
            <w:tcW w:w="3955" w:type="dxa"/>
            <w:tcBorders>
              <w:bottom w:val="nil"/>
            </w:tcBorders>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Implica distintos niveles de logro</w:t>
            </w:r>
          </w:p>
        </w:tc>
        <w:tc>
          <w:tcPr>
            <w:tcW w:w="1135" w:type="dxa"/>
            <w:gridSpan w:val="2"/>
            <w:tcBorders>
              <w:bottom w:val="nil"/>
            </w:tcBorders>
          </w:tcPr>
          <w:p w:rsidR="00D262AE" w:rsidRPr="00BB6A23" w:rsidRDefault="00D262AE"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2</w:t>
            </w:r>
          </w:p>
        </w:tc>
      </w:tr>
      <w:tr w:rsidR="00D262AE" w:rsidTr="00D262AE">
        <w:trPr>
          <w:jc w:val="center"/>
        </w:trPr>
        <w:tc>
          <w:tcPr>
            <w:tcW w:w="1634" w:type="dxa"/>
            <w:vMerge/>
            <w:tcBorders>
              <w:bottom w:val="nil"/>
            </w:tcBorders>
          </w:tcPr>
          <w:p w:rsidR="00D262AE" w:rsidRPr="00BB6A23" w:rsidRDefault="00D262AE"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Carácter integrador</w:t>
            </w:r>
          </w:p>
        </w:tc>
        <w:tc>
          <w:tcPr>
            <w:tcW w:w="1135" w:type="dxa"/>
            <w:gridSpan w:val="2"/>
            <w:tcBorders>
              <w:top w:val="nil"/>
              <w:bottom w:val="nil"/>
            </w:tcBorders>
          </w:tcPr>
          <w:p w:rsidR="00D262AE" w:rsidRPr="00BB6A23" w:rsidRDefault="00D262AE"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4</w:t>
            </w:r>
          </w:p>
        </w:tc>
      </w:tr>
      <w:tr w:rsidR="00F53C30" w:rsidTr="00D262AE">
        <w:trPr>
          <w:jc w:val="center"/>
        </w:trPr>
        <w:tc>
          <w:tcPr>
            <w:tcW w:w="1634"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Ligadas a la acción "aplicación"</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7</w:t>
            </w:r>
          </w:p>
        </w:tc>
      </w:tr>
      <w:tr w:rsidR="00F53C30" w:rsidTr="00D262AE">
        <w:trPr>
          <w:jc w:val="center"/>
        </w:trPr>
        <w:tc>
          <w:tcPr>
            <w:tcW w:w="1634"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Vinculadas al contexto profesional</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11</w:t>
            </w:r>
          </w:p>
        </w:tc>
      </w:tr>
      <w:tr w:rsidR="00F53C30" w:rsidTr="00D262AE">
        <w:trPr>
          <w:jc w:val="center"/>
        </w:trPr>
        <w:tc>
          <w:tcPr>
            <w:tcW w:w="1634" w:type="dxa"/>
            <w:vMerge w:val="restart"/>
            <w:tcBorders>
              <w:top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Valoración</w:t>
            </w:r>
          </w:p>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(41)</w:t>
            </w:r>
          </w:p>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Visión positiva del cambio</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11</w:t>
            </w:r>
          </w:p>
        </w:tc>
      </w:tr>
      <w:tr w:rsidR="00F53C30" w:rsidTr="00D262AE">
        <w:trPr>
          <w:jc w:val="center"/>
        </w:trPr>
        <w:tc>
          <w:tcPr>
            <w:tcW w:w="1634" w:type="dxa"/>
            <w:vMerge/>
          </w:tcPr>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 xml:space="preserve">Rechazo </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10</w:t>
            </w:r>
          </w:p>
        </w:tc>
      </w:tr>
      <w:tr w:rsidR="00F53C30" w:rsidTr="00D262AE">
        <w:trPr>
          <w:jc w:val="center"/>
        </w:trPr>
        <w:tc>
          <w:tcPr>
            <w:tcW w:w="1634" w:type="dxa"/>
            <w:vMerge/>
          </w:tcPr>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Valoración de las competencias en general</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7</w:t>
            </w:r>
          </w:p>
        </w:tc>
      </w:tr>
      <w:tr w:rsidR="00F53C30" w:rsidTr="00D262AE">
        <w:trPr>
          <w:jc w:val="center"/>
        </w:trPr>
        <w:tc>
          <w:tcPr>
            <w:tcW w:w="1634" w:type="dxa"/>
            <w:vMerge/>
          </w:tcPr>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Valoración de las competencias transversales</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10</w:t>
            </w:r>
          </w:p>
        </w:tc>
      </w:tr>
      <w:tr w:rsidR="00F53C30" w:rsidTr="00D262AE">
        <w:trPr>
          <w:jc w:val="center"/>
        </w:trPr>
        <w:tc>
          <w:tcPr>
            <w:tcW w:w="1634" w:type="dxa"/>
            <w:vMerge/>
            <w:tcBorders>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Valoración de las competencias específicas</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3</w:t>
            </w:r>
          </w:p>
        </w:tc>
      </w:tr>
      <w:tr w:rsidR="00F53C30" w:rsidTr="00D262AE">
        <w:trPr>
          <w:jc w:val="center"/>
        </w:trPr>
        <w:tc>
          <w:tcPr>
            <w:tcW w:w="1634" w:type="dxa"/>
            <w:vMerge w:val="restart"/>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C. Transversales</w:t>
            </w:r>
          </w:p>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(86)</w:t>
            </w:r>
          </w:p>
        </w:tc>
        <w:tc>
          <w:tcPr>
            <w:tcW w:w="3955" w:type="dxa"/>
            <w:tcBorders>
              <w:top w:val="nil"/>
              <w:bottom w:val="nil"/>
            </w:tcBorders>
          </w:tcPr>
          <w:p w:rsidR="00F53C30" w:rsidRPr="00BB6A23" w:rsidRDefault="00D262AE" w:rsidP="003C30C3">
            <w:pPr>
              <w:spacing w:line="240" w:lineRule="exact"/>
              <w:ind w:right="38"/>
              <w:rPr>
                <w:rFonts w:ascii="Palatino Linotype" w:hAnsi="Palatino Linotype"/>
                <w:sz w:val="18"/>
                <w:szCs w:val="18"/>
                <w:lang w:val="es-ES"/>
              </w:rPr>
            </w:pPr>
            <w:r>
              <w:rPr>
                <w:rFonts w:ascii="Palatino Linotype" w:hAnsi="Palatino Linotype"/>
                <w:sz w:val="18"/>
                <w:szCs w:val="18"/>
                <w:lang w:val="es-ES"/>
              </w:rPr>
              <w:t>T</w:t>
            </w:r>
            <w:r w:rsidR="00F53C30" w:rsidRPr="00BB6A23">
              <w:rPr>
                <w:rFonts w:ascii="Palatino Linotype" w:hAnsi="Palatino Linotype"/>
                <w:sz w:val="18"/>
                <w:szCs w:val="18"/>
                <w:lang w:val="es-ES"/>
              </w:rPr>
              <w:t>rabajo en grupo</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18</w:t>
            </w:r>
          </w:p>
        </w:tc>
      </w:tr>
      <w:tr w:rsidR="00F53C30" w:rsidTr="00D262AE">
        <w:trPr>
          <w:jc w:val="center"/>
        </w:trPr>
        <w:tc>
          <w:tcPr>
            <w:tcW w:w="1634" w:type="dxa"/>
            <w:vMerge/>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Expresión oral-escrita y habilidades comunicativas</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18</w:t>
            </w:r>
          </w:p>
        </w:tc>
      </w:tr>
      <w:tr w:rsidR="00F53C30" w:rsidTr="00D262AE">
        <w:trPr>
          <w:jc w:val="center"/>
        </w:trPr>
        <w:tc>
          <w:tcPr>
            <w:tcW w:w="1634" w:type="dxa"/>
            <w:vMerge/>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Planificar</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4</w:t>
            </w:r>
          </w:p>
        </w:tc>
      </w:tr>
      <w:tr w:rsidR="00F53C30" w:rsidTr="00D262AE">
        <w:trPr>
          <w:jc w:val="center"/>
        </w:trPr>
        <w:tc>
          <w:tcPr>
            <w:tcW w:w="1634" w:type="dxa"/>
            <w:vMerge/>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Compromiso social</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1</w:t>
            </w:r>
          </w:p>
        </w:tc>
      </w:tr>
      <w:tr w:rsidR="00F53C30" w:rsidTr="00D262AE">
        <w:trPr>
          <w:jc w:val="center"/>
        </w:trPr>
        <w:tc>
          <w:tcPr>
            <w:tcW w:w="1634" w:type="dxa"/>
            <w:vMerge/>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3955" w:type="dxa"/>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Aprender a aprender</w:t>
            </w:r>
          </w:p>
        </w:tc>
        <w:tc>
          <w:tcPr>
            <w:tcW w:w="1135" w:type="dxa"/>
            <w:gridSpan w:val="2"/>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5</w:t>
            </w:r>
          </w:p>
        </w:tc>
      </w:tr>
      <w:tr w:rsidR="00F53C30" w:rsidTr="00D262AE">
        <w:trPr>
          <w:jc w:val="center"/>
        </w:trPr>
        <w:tc>
          <w:tcPr>
            <w:tcW w:w="1634" w:type="dxa"/>
            <w:vMerge/>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Reflexión</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8</w:t>
            </w:r>
          </w:p>
        </w:tc>
      </w:tr>
      <w:tr w:rsidR="00F53C30" w:rsidTr="00D262AE">
        <w:trPr>
          <w:jc w:val="center"/>
        </w:trPr>
        <w:tc>
          <w:tcPr>
            <w:tcW w:w="1634" w:type="dxa"/>
            <w:vMerge/>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Responsabilidad</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3</w:t>
            </w:r>
          </w:p>
        </w:tc>
      </w:tr>
      <w:tr w:rsidR="00F53C30" w:rsidTr="00D262AE">
        <w:trPr>
          <w:jc w:val="center"/>
        </w:trPr>
        <w:tc>
          <w:tcPr>
            <w:tcW w:w="1634" w:type="dxa"/>
            <w:vMerge/>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Creatividad y emprendimiento</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5</w:t>
            </w:r>
          </w:p>
        </w:tc>
      </w:tr>
      <w:tr w:rsidR="00F53C30" w:rsidTr="00D262AE">
        <w:trPr>
          <w:jc w:val="center"/>
        </w:trPr>
        <w:tc>
          <w:tcPr>
            <w:tcW w:w="1634" w:type="dxa"/>
            <w:vMerge/>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Uso de TICS y  gestión de información</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4</w:t>
            </w:r>
          </w:p>
        </w:tc>
      </w:tr>
      <w:tr w:rsidR="00F53C30" w:rsidTr="00D262AE">
        <w:trPr>
          <w:jc w:val="center"/>
        </w:trPr>
        <w:tc>
          <w:tcPr>
            <w:tcW w:w="1634" w:type="dxa"/>
            <w:vMerge/>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Gestión de conflictos</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3</w:t>
            </w:r>
          </w:p>
        </w:tc>
      </w:tr>
      <w:tr w:rsidR="00F53C30" w:rsidTr="00D262AE">
        <w:trPr>
          <w:jc w:val="center"/>
        </w:trPr>
        <w:tc>
          <w:tcPr>
            <w:tcW w:w="1634" w:type="dxa"/>
            <w:vMerge/>
            <w:tcBorders>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Aplicar teoría a práctica</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11</w:t>
            </w:r>
          </w:p>
        </w:tc>
      </w:tr>
      <w:tr w:rsidR="00F53C30" w:rsidTr="00D262AE">
        <w:trPr>
          <w:jc w:val="center"/>
        </w:trPr>
        <w:tc>
          <w:tcPr>
            <w:tcW w:w="1634" w:type="dxa"/>
            <w:vMerge/>
            <w:tcBorders>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Liderazgo</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4</w:t>
            </w:r>
          </w:p>
        </w:tc>
      </w:tr>
      <w:tr w:rsidR="00F53C30" w:rsidTr="00B4698C">
        <w:trPr>
          <w:jc w:val="center"/>
        </w:trPr>
        <w:tc>
          <w:tcPr>
            <w:tcW w:w="1634" w:type="dxa"/>
            <w:vMerge/>
            <w:tcBorders>
              <w:bottom w:val="nil"/>
            </w:tcBorders>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Dominio Lengua extranjera</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2</w:t>
            </w:r>
          </w:p>
        </w:tc>
      </w:tr>
      <w:tr w:rsidR="00D262AE" w:rsidTr="00B4698C">
        <w:trPr>
          <w:jc w:val="center"/>
        </w:trPr>
        <w:tc>
          <w:tcPr>
            <w:tcW w:w="1634" w:type="dxa"/>
            <w:vMerge w:val="restart"/>
            <w:tcBorders>
              <w:top w:val="nil"/>
              <w:bottom w:val="nil"/>
            </w:tcBorders>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Dificultades para su  adopción</w:t>
            </w:r>
          </w:p>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(75)</w:t>
            </w:r>
          </w:p>
        </w:tc>
        <w:tc>
          <w:tcPr>
            <w:tcW w:w="4030" w:type="dxa"/>
            <w:gridSpan w:val="2"/>
            <w:tcBorders>
              <w:top w:val="nil"/>
              <w:bottom w:val="nil"/>
            </w:tcBorders>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Evaluar competencias en un contexto académico</w:t>
            </w:r>
          </w:p>
        </w:tc>
        <w:tc>
          <w:tcPr>
            <w:tcW w:w="1060" w:type="dxa"/>
            <w:tcBorders>
              <w:top w:val="nil"/>
              <w:bottom w:val="nil"/>
            </w:tcBorders>
          </w:tcPr>
          <w:p w:rsidR="00D262AE" w:rsidRPr="00BB6A23" w:rsidRDefault="00D262AE"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6</w:t>
            </w:r>
          </w:p>
        </w:tc>
      </w:tr>
      <w:tr w:rsidR="00D262AE" w:rsidTr="00B4698C">
        <w:trPr>
          <w:jc w:val="center"/>
        </w:trPr>
        <w:tc>
          <w:tcPr>
            <w:tcW w:w="1634" w:type="dxa"/>
            <w:vMerge/>
            <w:tcBorders>
              <w:bottom w:val="nil"/>
            </w:tcBorders>
          </w:tcPr>
          <w:p w:rsidR="00D262AE" w:rsidRPr="00BB6A23" w:rsidRDefault="00D262AE"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Falta de apoyo y recursos</w:t>
            </w:r>
          </w:p>
        </w:tc>
        <w:tc>
          <w:tcPr>
            <w:tcW w:w="1060" w:type="dxa"/>
            <w:tcBorders>
              <w:top w:val="nil"/>
              <w:bottom w:val="nil"/>
            </w:tcBorders>
          </w:tcPr>
          <w:p w:rsidR="00D262AE" w:rsidRPr="00BB6A23" w:rsidRDefault="00D262AE"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19</w:t>
            </w:r>
          </w:p>
        </w:tc>
      </w:tr>
      <w:tr w:rsidR="00D262AE" w:rsidTr="00B4698C">
        <w:trPr>
          <w:jc w:val="center"/>
        </w:trPr>
        <w:tc>
          <w:tcPr>
            <w:tcW w:w="1634" w:type="dxa"/>
            <w:vMerge/>
            <w:tcBorders>
              <w:bottom w:val="nil"/>
            </w:tcBorders>
          </w:tcPr>
          <w:p w:rsidR="00D262AE" w:rsidRPr="00BB6A23" w:rsidRDefault="00D262AE"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 xml:space="preserve">Carácter impositivo y prescriptivo de las competencias </w:t>
            </w:r>
          </w:p>
        </w:tc>
        <w:tc>
          <w:tcPr>
            <w:tcW w:w="1060" w:type="dxa"/>
            <w:tcBorders>
              <w:top w:val="nil"/>
              <w:bottom w:val="nil"/>
            </w:tcBorders>
          </w:tcPr>
          <w:p w:rsidR="00D262AE" w:rsidRPr="00BB6A23" w:rsidRDefault="00D262AE"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10</w:t>
            </w:r>
          </w:p>
        </w:tc>
      </w:tr>
      <w:tr w:rsidR="00D262AE" w:rsidTr="00405C5D">
        <w:trPr>
          <w:jc w:val="center"/>
        </w:trPr>
        <w:tc>
          <w:tcPr>
            <w:tcW w:w="1634" w:type="dxa"/>
            <w:vMerge/>
            <w:tcBorders>
              <w:bottom w:val="nil"/>
            </w:tcBorders>
          </w:tcPr>
          <w:p w:rsidR="00D262AE" w:rsidRPr="00BB6A23" w:rsidRDefault="00D262AE"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 xml:space="preserve">Falta formación docente </w:t>
            </w:r>
          </w:p>
        </w:tc>
        <w:tc>
          <w:tcPr>
            <w:tcW w:w="1060" w:type="dxa"/>
            <w:tcBorders>
              <w:top w:val="nil"/>
              <w:bottom w:val="nil"/>
            </w:tcBorders>
          </w:tcPr>
          <w:p w:rsidR="00D262AE" w:rsidRPr="00BB6A23" w:rsidRDefault="00D262AE"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22</w:t>
            </w:r>
          </w:p>
        </w:tc>
      </w:tr>
      <w:tr w:rsidR="00D262AE" w:rsidTr="00405C5D">
        <w:trPr>
          <w:jc w:val="center"/>
        </w:trPr>
        <w:tc>
          <w:tcPr>
            <w:tcW w:w="1634" w:type="dxa"/>
            <w:vMerge/>
            <w:tcBorders>
              <w:bottom w:val="nil"/>
            </w:tcBorders>
          </w:tcPr>
          <w:p w:rsidR="00D262AE" w:rsidRPr="00BB6A23" w:rsidRDefault="00D262AE"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 xml:space="preserve">No desarrolladas en niveles educativos anteriores </w:t>
            </w:r>
          </w:p>
        </w:tc>
        <w:tc>
          <w:tcPr>
            <w:tcW w:w="1060" w:type="dxa"/>
            <w:tcBorders>
              <w:top w:val="nil"/>
              <w:bottom w:val="nil"/>
            </w:tcBorders>
          </w:tcPr>
          <w:p w:rsidR="00D262AE" w:rsidRPr="00BB6A23" w:rsidRDefault="00D262AE"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3</w:t>
            </w:r>
          </w:p>
        </w:tc>
      </w:tr>
      <w:tr w:rsidR="00D262AE" w:rsidTr="00405C5D">
        <w:trPr>
          <w:jc w:val="center"/>
        </w:trPr>
        <w:tc>
          <w:tcPr>
            <w:tcW w:w="1634" w:type="dxa"/>
            <w:vMerge/>
            <w:tcBorders>
              <w:bottom w:val="nil"/>
            </w:tcBorders>
          </w:tcPr>
          <w:p w:rsidR="00D262AE" w:rsidRPr="00BB6A23" w:rsidRDefault="00D262AE"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Individualismo estudiantes y falta de compromiso</w:t>
            </w:r>
          </w:p>
        </w:tc>
        <w:tc>
          <w:tcPr>
            <w:tcW w:w="1060" w:type="dxa"/>
            <w:tcBorders>
              <w:top w:val="nil"/>
              <w:bottom w:val="nil"/>
            </w:tcBorders>
          </w:tcPr>
          <w:p w:rsidR="00D262AE" w:rsidRPr="00BB6A23" w:rsidRDefault="00D262AE"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6</w:t>
            </w:r>
          </w:p>
        </w:tc>
      </w:tr>
      <w:tr w:rsidR="00D262AE" w:rsidTr="00B4698C">
        <w:trPr>
          <w:jc w:val="center"/>
        </w:trPr>
        <w:tc>
          <w:tcPr>
            <w:tcW w:w="1634" w:type="dxa"/>
            <w:vMerge/>
            <w:tcBorders>
              <w:bottom w:val="nil"/>
            </w:tcBorders>
          </w:tcPr>
          <w:p w:rsidR="00D262AE" w:rsidRPr="00BB6A23" w:rsidRDefault="00D262AE"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D262AE" w:rsidRPr="00BB6A23" w:rsidRDefault="00D262AE"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 xml:space="preserve">Falta coordinación </w:t>
            </w:r>
          </w:p>
        </w:tc>
        <w:tc>
          <w:tcPr>
            <w:tcW w:w="1060" w:type="dxa"/>
            <w:tcBorders>
              <w:top w:val="nil"/>
              <w:bottom w:val="nil"/>
            </w:tcBorders>
          </w:tcPr>
          <w:p w:rsidR="00D262AE" w:rsidRPr="00BB6A23" w:rsidRDefault="00D262AE"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9</w:t>
            </w:r>
          </w:p>
        </w:tc>
      </w:tr>
      <w:tr w:rsidR="00F53C30" w:rsidTr="00B4698C">
        <w:trPr>
          <w:jc w:val="center"/>
        </w:trPr>
        <w:tc>
          <w:tcPr>
            <w:tcW w:w="1634" w:type="dxa"/>
            <w:vMerge w:val="restart"/>
            <w:tcBorders>
              <w:top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Impacto</w:t>
            </w:r>
          </w:p>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(66)</w:t>
            </w: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No hay cambios en la práctica formativa</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38</w:t>
            </w:r>
          </w:p>
        </w:tc>
      </w:tr>
      <w:tr w:rsidR="00F53C30" w:rsidTr="00D262AE">
        <w:trPr>
          <w:jc w:val="center"/>
        </w:trPr>
        <w:tc>
          <w:tcPr>
            <w:tcW w:w="1634" w:type="dxa"/>
            <w:vMerge/>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Expresión oral-escrita</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4</w:t>
            </w:r>
          </w:p>
        </w:tc>
      </w:tr>
      <w:tr w:rsidR="00F53C30" w:rsidTr="00D262AE">
        <w:trPr>
          <w:jc w:val="center"/>
        </w:trPr>
        <w:tc>
          <w:tcPr>
            <w:tcW w:w="1634" w:type="dxa"/>
            <w:vMerge/>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 xml:space="preserve">Mejora  la retroalimentación. </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8</w:t>
            </w:r>
          </w:p>
        </w:tc>
      </w:tr>
      <w:tr w:rsidR="00F53C30" w:rsidTr="00D262AE">
        <w:trPr>
          <w:jc w:val="center"/>
        </w:trPr>
        <w:tc>
          <w:tcPr>
            <w:tcW w:w="1634" w:type="dxa"/>
            <w:vMerge/>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Mejora resultados académicos</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2</w:t>
            </w:r>
          </w:p>
        </w:tc>
      </w:tr>
      <w:tr w:rsidR="00F53C30" w:rsidTr="00D262AE">
        <w:trPr>
          <w:jc w:val="center"/>
        </w:trPr>
        <w:tc>
          <w:tcPr>
            <w:tcW w:w="1634" w:type="dxa"/>
            <w:vMerge/>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Incremento de la participación y trabajo en grupo</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2</w:t>
            </w:r>
          </w:p>
        </w:tc>
      </w:tr>
      <w:tr w:rsidR="00F53C30" w:rsidTr="00D262AE">
        <w:trPr>
          <w:jc w:val="center"/>
        </w:trPr>
        <w:tc>
          <w:tcPr>
            <w:tcW w:w="1634" w:type="dxa"/>
            <w:vMerge/>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bottom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Aumento de la carga de trabajo a los estudiantes</w:t>
            </w:r>
          </w:p>
        </w:tc>
        <w:tc>
          <w:tcPr>
            <w:tcW w:w="1060" w:type="dxa"/>
            <w:tcBorders>
              <w:top w:val="nil"/>
              <w:bottom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5</w:t>
            </w:r>
          </w:p>
        </w:tc>
      </w:tr>
      <w:tr w:rsidR="00F53C30" w:rsidTr="00D262AE">
        <w:trPr>
          <w:jc w:val="center"/>
        </w:trPr>
        <w:tc>
          <w:tcPr>
            <w:tcW w:w="1634" w:type="dxa"/>
            <w:vMerge/>
          </w:tcPr>
          <w:p w:rsidR="00F53C30" w:rsidRPr="00BB6A23" w:rsidRDefault="00F53C30" w:rsidP="003C30C3">
            <w:pPr>
              <w:spacing w:line="240" w:lineRule="exact"/>
              <w:ind w:right="38"/>
              <w:rPr>
                <w:rFonts w:ascii="Palatino Linotype" w:hAnsi="Palatino Linotype"/>
                <w:sz w:val="18"/>
                <w:szCs w:val="18"/>
                <w:lang w:val="es-ES"/>
              </w:rPr>
            </w:pPr>
          </w:p>
        </w:tc>
        <w:tc>
          <w:tcPr>
            <w:tcW w:w="4030" w:type="dxa"/>
            <w:gridSpan w:val="2"/>
            <w:tcBorders>
              <w:top w:val="nil"/>
            </w:tcBorders>
          </w:tcPr>
          <w:p w:rsidR="00F53C30" w:rsidRPr="00BB6A23" w:rsidRDefault="00F53C30" w:rsidP="003C30C3">
            <w:pPr>
              <w:spacing w:line="240" w:lineRule="exact"/>
              <w:ind w:right="38"/>
              <w:rPr>
                <w:rFonts w:ascii="Palatino Linotype" w:hAnsi="Palatino Linotype"/>
                <w:sz w:val="18"/>
                <w:szCs w:val="18"/>
                <w:lang w:val="es-ES"/>
              </w:rPr>
            </w:pPr>
            <w:r w:rsidRPr="00BB6A23">
              <w:rPr>
                <w:rFonts w:ascii="Palatino Linotype" w:hAnsi="Palatino Linotype"/>
                <w:sz w:val="18"/>
                <w:szCs w:val="18"/>
                <w:lang w:val="es-ES"/>
              </w:rPr>
              <w:t>En el trabajo docente</w:t>
            </w:r>
          </w:p>
        </w:tc>
        <w:tc>
          <w:tcPr>
            <w:tcW w:w="1060" w:type="dxa"/>
            <w:tcBorders>
              <w:top w:val="nil"/>
            </w:tcBorders>
          </w:tcPr>
          <w:p w:rsidR="00F53C30" w:rsidRPr="00BB6A23" w:rsidRDefault="00F53C30" w:rsidP="00F53C30">
            <w:pPr>
              <w:spacing w:line="240" w:lineRule="exact"/>
              <w:ind w:right="38"/>
              <w:jc w:val="center"/>
              <w:rPr>
                <w:rFonts w:ascii="Palatino Linotype" w:hAnsi="Palatino Linotype"/>
                <w:sz w:val="18"/>
                <w:szCs w:val="18"/>
                <w:lang w:val="es-ES"/>
              </w:rPr>
            </w:pPr>
            <w:r w:rsidRPr="00BB6A23">
              <w:rPr>
                <w:rFonts w:ascii="Palatino Linotype" w:hAnsi="Palatino Linotype"/>
                <w:sz w:val="18"/>
                <w:szCs w:val="18"/>
                <w:lang w:val="es-ES"/>
              </w:rPr>
              <w:t>7</w:t>
            </w:r>
          </w:p>
        </w:tc>
      </w:tr>
    </w:tbl>
    <w:p w:rsid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
        </w:rPr>
        <w:t xml:space="preserve">La información proporcionada por el profesorado universitario sobre el enfoque por competencias ha sido estructurada en torno a cinco categorías. La más recurrida ha sido la relativa a las </w:t>
      </w:r>
      <w:r w:rsidRPr="00BB6A23">
        <w:rPr>
          <w:rFonts w:ascii="Palatino Linotype" w:eastAsia="Calibri" w:hAnsi="Palatino Linotype" w:cs="Times New Roman"/>
          <w:i/>
          <w:sz w:val="20"/>
          <w:szCs w:val="20"/>
          <w:lang w:val="es-ES"/>
        </w:rPr>
        <w:t>competencias transversales</w:t>
      </w:r>
      <w:r w:rsidRPr="00BB6A23">
        <w:rPr>
          <w:rFonts w:ascii="Palatino Linotype" w:eastAsia="Calibri" w:hAnsi="Palatino Linotype" w:cs="Times New Roman"/>
          <w:sz w:val="20"/>
          <w:szCs w:val="20"/>
          <w:lang w:val="es-ES"/>
        </w:rPr>
        <w:t xml:space="preserve">, seguida de </w:t>
      </w:r>
      <w:r w:rsidRPr="00BB6A23">
        <w:rPr>
          <w:rFonts w:ascii="Palatino Linotype" w:eastAsia="Calibri" w:hAnsi="Palatino Linotype" w:cs="Times New Roman"/>
          <w:i/>
          <w:sz w:val="20"/>
          <w:szCs w:val="20"/>
          <w:lang w:val="es-ES"/>
        </w:rPr>
        <w:t>dificultades para su adopción</w:t>
      </w:r>
      <w:r w:rsidRPr="00BB6A23">
        <w:rPr>
          <w:rFonts w:ascii="Palatino Linotype" w:eastAsia="Calibri" w:hAnsi="Palatino Linotype" w:cs="Times New Roman"/>
          <w:sz w:val="20"/>
          <w:szCs w:val="20"/>
          <w:lang w:val="es-ES"/>
        </w:rPr>
        <w:t xml:space="preserve"> e </w:t>
      </w:r>
      <w:r w:rsidRPr="00BB6A23">
        <w:rPr>
          <w:rFonts w:ascii="Palatino Linotype" w:eastAsia="Calibri" w:hAnsi="Palatino Linotype" w:cs="Times New Roman"/>
          <w:i/>
          <w:sz w:val="20"/>
          <w:szCs w:val="20"/>
          <w:lang w:val="es-ES"/>
        </w:rPr>
        <w:t>impacto</w:t>
      </w:r>
      <w:r w:rsidRPr="00BB6A23">
        <w:rPr>
          <w:rFonts w:ascii="Palatino Linotype" w:eastAsia="Calibri" w:hAnsi="Palatino Linotype" w:cs="Times New Roman"/>
          <w:sz w:val="20"/>
          <w:szCs w:val="20"/>
          <w:lang w:val="es-ES"/>
        </w:rPr>
        <w:t xml:space="preserve">. Las categorías con las frecuencias más bajas corresponden a: </w:t>
      </w:r>
      <w:r w:rsidRPr="00BB6A23">
        <w:rPr>
          <w:rFonts w:ascii="Palatino Linotype" w:eastAsia="Calibri" w:hAnsi="Palatino Linotype" w:cs="Times New Roman"/>
          <w:i/>
          <w:sz w:val="20"/>
          <w:szCs w:val="20"/>
          <w:lang w:val="es-ES"/>
        </w:rPr>
        <w:t>valoración del enfoque por competencias</w:t>
      </w:r>
      <w:r w:rsidRPr="00BB6A23">
        <w:rPr>
          <w:rFonts w:ascii="Palatino Linotype" w:eastAsia="Calibri" w:hAnsi="Palatino Linotype" w:cs="Times New Roman"/>
          <w:sz w:val="20"/>
          <w:szCs w:val="20"/>
          <w:lang w:val="es-ES"/>
        </w:rPr>
        <w:t xml:space="preserve"> y</w:t>
      </w:r>
      <w:r w:rsidRPr="00BB6A23">
        <w:rPr>
          <w:rFonts w:ascii="Palatino Linotype" w:eastAsia="Calibri" w:hAnsi="Palatino Linotype" w:cs="Times New Roman"/>
          <w:i/>
          <w:sz w:val="20"/>
          <w:szCs w:val="20"/>
          <w:lang w:val="es-ES"/>
        </w:rPr>
        <w:t xml:space="preserve"> características de las competencias.</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
        </w:rPr>
        <w:t xml:space="preserve">Si tomamos de referencia esta última categoría, encontramos que entre las </w:t>
      </w:r>
      <w:r w:rsidRPr="00BB6A23">
        <w:rPr>
          <w:rFonts w:ascii="Palatino Linotype" w:eastAsia="Calibri" w:hAnsi="Palatino Linotype" w:cs="Times New Roman"/>
          <w:b/>
          <w:sz w:val="20"/>
          <w:szCs w:val="20"/>
          <w:lang w:val="es-ES"/>
        </w:rPr>
        <w:t xml:space="preserve">características </w:t>
      </w:r>
      <w:r w:rsidRPr="00BB6A23">
        <w:rPr>
          <w:rFonts w:ascii="Palatino Linotype" w:eastAsia="Calibri" w:hAnsi="Palatino Linotype" w:cs="Times New Roman"/>
          <w:sz w:val="20"/>
          <w:szCs w:val="20"/>
          <w:lang w:val="es-ES"/>
        </w:rPr>
        <w:t xml:space="preserve">más destacas de las competencias figuran: su vinculación al contexto profesional y su conexión con la acción y, en menor medida, su carácter integrador y los diferentes niveles de logro que comporta. </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En relación a la trasmisión de competencias, yo veo que van más allá de transmitir conocimientos. Sí que es fundamental que los alumnos vean la aplicación que tienen estos conocimientos en su futuro profesional</w:t>
      </w:r>
      <w:r w:rsidR="00E50E4E">
        <w:rPr>
          <w:rFonts w:ascii="Palatino Linotype" w:eastAsia="Calibri" w:hAnsi="Palatino Linotype" w:cs="Times New Roman"/>
          <w:sz w:val="20"/>
          <w:szCs w:val="20"/>
          <w:lang w:val="es-ES_tradnl"/>
        </w:rPr>
        <w:t xml:space="preserve"> (P7.UGR)</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Yo creo que el asunto es situar la materia en el ejercicio de la profesión, en el rincón que encontremos. Esto ayuda a hacer algo a favor de la competencia aunque sea una asignatura conceptual</w:t>
      </w:r>
      <w:r w:rsidR="00E50E4E">
        <w:rPr>
          <w:rFonts w:ascii="Palatino Linotype" w:eastAsia="Calibri" w:hAnsi="Palatino Linotype" w:cs="Times New Roman"/>
          <w:sz w:val="20"/>
          <w:szCs w:val="20"/>
          <w:lang w:val="es-ES_tradnl"/>
        </w:rPr>
        <w:t xml:space="preserve"> (P2.UAB)</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_tradnl"/>
        </w:rPr>
        <w:t xml:space="preserve">En cuanto a la </w:t>
      </w:r>
      <w:r w:rsidRPr="00BB6A23">
        <w:rPr>
          <w:rFonts w:ascii="Palatino Linotype" w:eastAsia="Calibri" w:hAnsi="Palatino Linotype" w:cs="Times New Roman"/>
          <w:b/>
          <w:sz w:val="20"/>
          <w:szCs w:val="20"/>
          <w:lang w:val="es-ES_tradnl"/>
        </w:rPr>
        <w:t>valoración</w:t>
      </w:r>
      <w:r w:rsidRPr="00BB6A23">
        <w:rPr>
          <w:rFonts w:ascii="Palatino Linotype" w:eastAsia="Calibri" w:hAnsi="Palatino Linotype" w:cs="Times New Roman"/>
          <w:sz w:val="20"/>
          <w:szCs w:val="20"/>
          <w:lang w:val="es-ES_tradnl"/>
        </w:rPr>
        <w:t xml:space="preserve"> del enfoque por competencias, las posiciones de los docentes universitarios que participan en la investigación están divididas</w:t>
      </w:r>
      <w:r w:rsidR="006427EA">
        <w:rPr>
          <w:rFonts w:ascii="Palatino Linotype" w:eastAsia="Calibri" w:hAnsi="Palatino Linotype" w:cs="Times New Roman"/>
          <w:sz w:val="20"/>
          <w:szCs w:val="20"/>
          <w:lang w:val="es-ES_tradnl"/>
        </w:rPr>
        <w:t>,</w:t>
      </w:r>
      <w:r w:rsidRPr="00BB6A23">
        <w:rPr>
          <w:rFonts w:ascii="Palatino Linotype" w:eastAsia="Calibri" w:hAnsi="Palatino Linotype" w:cs="Times New Roman"/>
          <w:sz w:val="20"/>
          <w:szCs w:val="20"/>
          <w:lang w:val="es-ES_tradnl"/>
        </w:rPr>
        <w:t xml:space="preserve"> de manera equilibrada</w:t>
      </w:r>
      <w:r w:rsidR="006427EA">
        <w:rPr>
          <w:rFonts w:ascii="Palatino Linotype" w:eastAsia="Calibri" w:hAnsi="Palatino Linotype" w:cs="Times New Roman"/>
          <w:sz w:val="20"/>
          <w:szCs w:val="20"/>
          <w:lang w:val="es-ES_tradnl"/>
        </w:rPr>
        <w:t>,</w:t>
      </w:r>
      <w:r w:rsidRPr="00BB6A23">
        <w:rPr>
          <w:rFonts w:ascii="Palatino Linotype" w:eastAsia="Calibri" w:hAnsi="Palatino Linotype" w:cs="Times New Roman"/>
          <w:sz w:val="20"/>
          <w:szCs w:val="20"/>
          <w:lang w:val="es-ES_tradnl"/>
        </w:rPr>
        <w:t xml:space="preserve"> entre aquellos que tienen una visión positiva y los que manifiestan abiertamente su rechazo. Entre las cuestiones que valoran positivamente figuran: los cambios estructurales, las posibilidades de innovación y renovación que ofrece, la apertura a nuevos entornos formativos y el carácter prescriptivo conferido a las competencias en los planes de formación y guías docentes.</w:t>
      </w:r>
    </w:p>
    <w:p w:rsidR="00AA3FB5" w:rsidRDefault="00BB6A23" w:rsidP="00AA3FB5">
      <w:pPr>
        <w:spacing w:after="0" w:line="240" w:lineRule="exact"/>
        <w:ind w:left="100" w:right="38" w:firstLine="283"/>
        <w:jc w:val="both"/>
        <w:rPr>
          <w:rFonts w:ascii="Palatino Linotype" w:eastAsia="Calibri" w:hAnsi="Palatino Linotype" w:cs="Times New Roman"/>
          <w:sz w:val="20"/>
          <w:szCs w:val="20"/>
          <w:lang w:val="es-ES_tradnl"/>
        </w:rPr>
      </w:pPr>
      <w:r w:rsidRPr="00BB6A23">
        <w:rPr>
          <w:rFonts w:ascii="Palatino Linotype" w:eastAsia="Calibri" w:hAnsi="Palatino Linotype" w:cs="Times New Roman"/>
          <w:i/>
          <w:sz w:val="20"/>
          <w:szCs w:val="20"/>
          <w:lang w:val="es-ES_tradnl"/>
        </w:rPr>
        <w:t>En la implementación de los grados en sí, sí que creo que, por lo menos en nuestro centro y en nuestros grados, ha habido un cambio estructural que ha propiciado que podamos promover un desarrollo de las competencias</w:t>
      </w:r>
      <w:r w:rsidR="00AA3FB5">
        <w:rPr>
          <w:rFonts w:ascii="Palatino Linotype" w:eastAsia="Calibri" w:hAnsi="Palatino Linotype" w:cs="Times New Roman"/>
          <w:sz w:val="20"/>
          <w:szCs w:val="20"/>
          <w:lang w:val="es-ES_tradnl"/>
        </w:rPr>
        <w:t xml:space="preserve"> (P8.UGR)</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 encontré la oportunidad de empezar de nuevo. Era una materia que creo que no se había hecho nunca antes en la universidad, con un grupo nuevo, yo nunca había hecho clases en la politécnica, y toda una estructura nueva. Entonces, directamente pude diseñar este curso desde cero y a partir de competencias</w:t>
      </w:r>
      <w:r w:rsidR="00E50E4E">
        <w:rPr>
          <w:rFonts w:ascii="Palatino Linotype" w:eastAsia="Calibri" w:hAnsi="Palatino Linotype" w:cs="Times New Roman"/>
          <w:sz w:val="20"/>
          <w:szCs w:val="20"/>
          <w:lang w:val="es-ES_tradnl"/>
        </w:rPr>
        <w:t xml:space="preserve"> (P10.UIB)</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Sí que a veces el hecho de hacer otras actividades fuera de la universidad les ayuda a tener estas competencias que le servirán ya para cuando realicen su trabajo profesional</w:t>
      </w:r>
      <w:r w:rsidRPr="00BB6A23">
        <w:rPr>
          <w:rFonts w:ascii="Palatino Linotype" w:eastAsia="Calibri" w:hAnsi="Palatino Linotype" w:cs="Times New Roman"/>
          <w:sz w:val="20"/>
          <w:szCs w:val="20"/>
          <w:lang w:val="es-ES_tradnl"/>
        </w:rPr>
        <w:t xml:space="preserve"> (P2.URV).</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_tradnl"/>
        </w:rPr>
        <w:t xml:space="preserve">Los motivos por los que los docentes del estudio rechazan el enfoque por competencias son de distinta índole: falta de recursos y apoyos, la homogenización a </w:t>
      </w:r>
      <w:r w:rsidRPr="00BB6A23">
        <w:rPr>
          <w:rFonts w:ascii="Palatino Linotype" w:eastAsia="Calibri" w:hAnsi="Palatino Linotype" w:cs="Times New Roman"/>
          <w:sz w:val="20"/>
          <w:szCs w:val="20"/>
          <w:lang w:val="es-ES_tradnl"/>
        </w:rPr>
        <w:lastRenderedPageBreak/>
        <w:t xml:space="preserve">la que se tiende y la devaluación de los contenidos. </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 xml:space="preserve">¿Dónde están los recursos económicos? Esto no es cuestión de buena voluntad. Es por no tener dinero encima. Contrate profesorado y ya verá usted cómo saldremos de las clases magistrales. Que no lo dejen todo a la buena voluntad del profesorado, que la tenemos </w:t>
      </w:r>
      <w:r w:rsidRPr="00BB6A23">
        <w:rPr>
          <w:rFonts w:ascii="Palatino Linotype" w:eastAsia="Calibri" w:hAnsi="Palatino Linotype" w:cs="Times New Roman"/>
          <w:sz w:val="20"/>
          <w:szCs w:val="20"/>
          <w:lang w:val="es-ES_tradnl"/>
        </w:rPr>
        <w:t>(P5.UGR).</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
        </w:rPr>
        <w:t>Unos estudios donde todo vale igual para todo el mundo. Realmente están haciendo aquello de querer hacer a todo el mundo igual</w:t>
      </w:r>
      <w:r w:rsidR="00E50E4E">
        <w:rPr>
          <w:rFonts w:ascii="Palatino Linotype" w:eastAsia="Calibri" w:hAnsi="Palatino Linotype" w:cs="Times New Roman"/>
          <w:sz w:val="20"/>
          <w:szCs w:val="20"/>
          <w:lang w:val="es-ES"/>
        </w:rPr>
        <w:t>. (P1.UIB)</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  lo que no puedes hacer es estar bajando los contenidos. Si es importante y resulta que la universidad tiene que hacer alguna cosa, se pone una materia nueva donde se trate este tema</w:t>
      </w:r>
      <w:r w:rsidRPr="00BB6A23">
        <w:rPr>
          <w:rFonts w:ascii="Palatino Linotype" w:eastAsia="Calibri" w:hAnsi="Palatino Linotype" w:cs="Times New Roman"/>
          <w:sz w:val="20"/>
          <w:szCs w:val="20"/>
          <w:lang w:val="es-ES_tradnl"/>
        </w:rPr>
        <w:t xml:space="preserve"> (P3.UIB).</w:t>
      </w:r>
    </w:p>
    <w:p w:rsidR="00AA3FB5" w:rsidRDefault="00BB6A23" w:rsidP="00AA3FB5">
      <w:pPr>
        <w:spacing w:after="0" w:line="240" w:lineRule="exact"/>
        <w:ind w:left="100" w:right="38" w:firstLine="283"/>
        <w:jc w:val="both"/>
        <w:rPr>
          <w:rFonts w:ascii="Palatino Linotype" w:eastAsia="Calibri" w:hAnsi="Palatino Linotype" w:cs="Times New Roman"/>
          <w:sz w:val="20"/>
          <w:szCs w:val="20"/>
          <w:lang w:val="es-ES_tradnl"/>
        </w:rPr>
      </w:pPr>
      <w:r w:rsidRPr="00BB6A23">
        <w:rPr>
          <w:rFonts w:ascii="Palatino Linotype" w:eastAsia="Calibri" w:hAnsi="Palatino Linotype" w:cs="Times New Roman"/>
          <w:sz w:val="20"/>
          <w:szCs w:val="20"/>
          <w:lang w:val="es-ES_tradnl"/>
        </w:rPr>
        <w:t xml:space="preserve">En general, los docentes universitarios consideran que el enfoque por competencias </w:t>
      </w:r>
      <w:r w:rsidR="005A78B9">
        <w:rPr>
          <w:rFonts w:ascii="Palatino Linotype" w:eastAsia="Calibri" w:hAnsi="Palatino Linotype" w:cs="Times New Roman"/>
          <w:sz w:val="20"/>
          <w:szCs w:val="20"/>
          <w:lang w:val="es-ES_tradnl"/>
        </w:rPr>
        <w:t>comporta</w:t>
      </w:r>
      <w:r w:rsidRPr="00BB6A23">
        <w:rPr>
          <w:rFonts w:ascii="Palatino Linotype" w:eastAsia="Calibri" w:hAnsi="Palatino Linotype" w:cs="Times New Roman"/>
          <w:sz w:val="20"/>
          <w:szCs w:val="20"/>
          <w:lang w:val="es-ES_tradnl"/>
        </w:rPr>
        <w:t xml:space="preserve"> un cambio de mentalidad</w:t>
      </w:r>
      <w:r w:rsidR="005A78B9">
        <w:rPr>
          <w:rFonts w:ascii="Palatino Linotype" w:eastAsia="Calibri" w:hAnsi="Palatino Linotype" w:cs="Times New Roman"/>
          <w:sz w:val="20"/>
          <w:szCs w:val="20"/>
          <w:lang w:val="es-ES_tradnl"/>
        </w:rPr>
        <w:t xml:space="preserve">, en el profesorado y el alumnado, </w:t>
      </w:r>
      <w:r w:rsidRPr="00BB6A23">
        <w:rPr>
          <w:rFonts w:ascii="Palatino Linotype" w:eastAsia="Calibri" w:hAnsi="Palatino Linotype" w:cs="Times New Roman"/>
          <w:sz w:val="20"/>
          <w:szCs w:val="20"/>
          <w:lang w:val="es-ES_tradnl"/>
        </w:rPr>
        <w:t xml:space="preserve">que debe proyectarse en una nueva práctica formativa y esto, </w:t>
      </w:r>
      <w:r w:rsidR="00AA3FB5">
        <w:rPr>
          <w:rFonts w:ascii="Palatino Linotype" w:eastAsia="Calibri" w:hAnsi="Palatino Linotype" w:cs="Times New Roman"/>
          <w:sz w:val="20"/>
          <w:szCs w:val="20"/>
          <w:lang w:val="es-ES_tradnl"/>
        </w:rPr>
        <w:t>en su opinión, no resulta fácil</w:t>
      </w:r>
      <w:r w:rsidR="005A78B9">
        <w:rPr>
          <w:rFonts w:ascii="Palatino Linotype" w:eastAsia="Calibri" w:hAnsi="Palatino Linotype" w:cs="Times New Roman"/>
          <w:sz w:val="20"/>
          <w:szCs w:val="20"/>
          <w:lang w:val="es-ES_tradnl"/>
        </w:rPr>
        <w:t>.</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no sólo está en el profesorado. Creo que también está en el alumnado. Por eso que comentaba: tenemos implícitos estos valores tan tradicionales que cambiarlos supone cambiar nuestro propio esquema de valoración de lo que necesitamos. Sino realmente estaremos siempre haciendo lo mismo con distinto nombre</w:t>
      </w:r>
      <w:r w:rsidRPr="00BB6A23">
        <w:rPr>
          <w:rFonts w:ascii="Palatino Linotype" w:eastAsia="Calibri" w:hAnsi="Palatino Linotype" w:cs="Times New Roman"/>
          <w:sz w:val="20"/>
          <w:szCs w:val="20"/>
          <w:lang w:val="es-ES_tradnl"/>
        </w:rPr>
        <w:t xml:space="preserve"> (P6.UGR)</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_tradnl"/>
        </w:rPr>
        <w:t xml:space="preserve">Gran parte de las aportaciones del </w:t>
      </w:r>
      <w:r w:rsidRPr="00E64354">
        <w:rPr>
          <w:rFonts w:ascii="Palatino Linotype" w:eastAsia="Calibri" w:hAnsi="Palatino Linotype" w:cs="Times New Roman"/>
          <w:sz w:val="20"/>
          <w:szCs w:val="20"/>
          <w:lang w:val="es-ES_tradnl"/>
        </w:rPr>
        <w:t xml:space="preserve">profesorado han </w:t>
      </w:r>
      <w:r w:rsidR="00E64354">
        <w:rPr>
          <w:rFonts w:ascii="Palatino Linotype" w:eastAsia="Calibri" w:hAnsi="Palatino Linotype" w:cs="Times New Roman"/>
          <w:sz w:val="20"/>
          <w:szCs w:val="20"/>
          <w:lang w:val="es-ES_tradnl"/>
        </w:rPr>
        <w:t xml:space="preserve">aludido </w:t>
      </w:r>
      <w:r w:rsidRPr="00E64354">
        <w:rPr>
          <w:rFonts w:ascii="Palatino Linotype" w:eastAsia="Calibri" w:hAnsi="Palatino Linotype" w:cs="Times New Roman"/>
          <w:sz w:val="20"/>
          <w:szCs w:val="20"/>
          <w:lang w:val="es-ES_tradnl"/>
        </w:rPr>
        <w:t xml:space="preserve">a las </w:t>
      </w:r>
      <w:r w:rsidRPr="00E64354">
        <w:rPr>
          <w:rFonts w:ascii="Palatino Linotype" w:eastAsia="Calibri" w:hAnsi="Palatino Linotype" w:cs="Times New Roman"/>
          <w:b/>
          <w:sz w:val="20"/>
          <w:szCs w:val="20"/>
          <w:lang w:val="es-ES_tradnl"/>
        </w:rPr>
        <w:t>competencias transversales,</w:t>
      </w:r>
      <w:r w:rsidRPr="00E64354">
        <w:rPr>
          <w:rFonts w:ascii="Palatino Linotype" w:eastAsia="Calibri" w:hAnsi="Palatino Linotype" w:cs="Times New Roman"/>
          <w:sz w:val="20"/>
          <w:szCs w:val="20"/>
          <w:lang w:val="es-ES_tradnl"/>
        </w:rPr>
        <w:t xml:space="preserve"> que han sido</w:t>
      </w:r>
      <w:r w:rsidR="00BE2D6C">
        <w:rPr>
          <w:rFonts w:ascii="Palatino Linotype" w:eastAsia="Calibri" w:hAnsi="Palatino Linotype" w:cs="Times New Roman"/>
          <w:sz w:val="20"/>
          <w:szCs w:val="20"/>
          <w:lang w:val="es-ES_tradnl"/>
        </w:rPr>
        <w:t xml:space="preserve"> valoradas 10 veces y</w:t>
      </w:r>
      <w:r w:rsidR="003F610E">
        <w:rPr>
          <w:rFonts w:ascii="Palatino Linotype" w:eastAsia="Calibri" w:hAnsi="Palatino Linotype" w:cs="Times New Roman"/>
          <w:sz w:val="20"/>
          <w:szCs w:val="20"/>
          <w:lang w:val="es-ES_tradnl"/>
        </w:rPr>
        <w:t xml:space="preserve"> </w:t>
      </w:r>
      <w:r w:rsidR="00E64354">
        <w:rPr>
          <w:rFonts w:ascii="Palatino Linotype" w:eastAsia="Calibri" w:hAnsi="Palatino Linotype" w:cs="Times New Roman"/>
          <w:sz w:val="20"/>
          <w:szCs w:val="20"/>
          <w:lang w:val="es-ES_tradnl"/>
        </w:rPr>
        <w:t xml:space="preserve">referenciadas en </w:t>
      </w:r>
      <w:r w:rsidRPr="00BB6A23">
        <w:rPr>
          <w:rFonts w:ascii="Palatino Linotype" w:eastAsia="Calibri" w:hAnsi="Palatino Linotype" w:cs="Times New Roman"/>
          <w:sz w:val="20"/>
          <w:szCs w:val="20"/>
          <w:lang w:val="es-ES_tradnl"/>
        </w:rPr>
        <w:t xml:space="preserve">86 </w:t>
      </w:r>
      <w:r w:rsidR="00E64354">
        <w:rPr>
          <w:rFonts w:ascii="Palatino Linotype" w:eastAsia="Calibri" w:hAnsi="Palatino Linotype" w:cs="Times New Roman"/>
          <w:sz w:val="20"/>
          <w:szCs w:val="20"/>
          <w:lang w:val="es-ES_tradnl"/>
        </w:rPr>
        <w:t>ocasiones</w:t>
      </w:r>
      <w:r w:rsidRPr="00BB6A23">
        <w:rPr>
          <w:rFonts w:ascii="Palatino Linotype" w:eastAsia="Calibri" w:hAnsi="Palatino Linotype" w:cs="Times New Roman"/>
          <w:sz w:val="20"/>
          <w:szCs w:val="20"/>
          <w:lang w:val="es-ES_tradnl"/>
        </w:rPr>
        <w:t>. En opinión del profesorado el reto está</w:t>
      </w:r>
      <w:r w:rsidR="00E64354">
        <w:rPr>
          <w:rFonts w:ascii="Palatino Linotype" w:eastAsia="Calibri" w:hAnsi="Palatino Linotype" w:cs="Times New Roman"/>
          <w:sz w:val="20"/>
          <w:szCs w:val="20"/>
          <w:lang w:val="es-ES_tradnl"/>
        </w:rPr>
        <w:t>,</w:t>
      </w:r>
      <w:r w:rsidRPr="00BB6A23">
        <w:rPr>
          <w:rFonts w:ascii="Palatino Linotype" w:eastAsia="Calibri" w:hAnsi="Palatino Linotype" w:cs="Times New Roman"/>
          <w:sz w:val="20"/>
          <w:szCs w:val="20"/>
          <w:lang w:val="es-ES_tradnl"/>
        </w:rPr>
        <w:t xml:space="preserve"> fundamentalmente</w:t>
      </w:r>
      <w:r w:rsidR="00E64354">
        <w:rPr>
          <w:rFonts w:ascii="Palatino Linotype" w:eastAsia="Calibri" w:hAnsi="Palatino Linotype" w:cs="Times New Roman"/>
          <w:sz w:val="20"/>
          <w:szCs w:val="20"/>
          <w:lang w:val="es-ES_tradnl"/>
        </w:rPr>
        <w:t>,</w:t>
      </w:r>
      <w:r w:rsidRPr="00BB6A23">
        <w:rPr>
          <w:rFonts w:ascii="Palatino Linotype" w:eastAsia="Calibri" w:hAnsi="Palatino Linotype" w:cs="Times New Roman"/>
          <w:sz w:val="20"/>
          <w:szCs w:val="20"/>
          <w:lang w:val="es-ES_tradnl"/>
        </w:rPr>
        <w:t xml:space="preserve"> en el desarrollo de este tipo de competencias. </w:t>
      </w:r>
      <w:r w:rsidRPr="00BB6A23">
        <w:rPr>
          <w:rFonts w:ascii="Palatino Linotype" w:eastAsia="Calibri" w:hAnsi="Palatino Linotype" w:cs="Times New Roman"/>
          <w:i/>
          <w:sz w:val="20"/>
          <w:szCs w:val="20"/>
          <w:lang w:val="es-ES_tradnl"/>
        </w:rPr>
        <w:t>El cambio significativo son las transversales</w:t>
      </w:r>
      <w:r w:rsidRPr="00BB6A23">
        <w:rPr>
          <w:rFonts w:ascii="Palatino Linotype" w:eastAsia="Calibri" w:hAnsi="Palatino Linotype" w:cs="Times New Roman"/>
          <w:sz w:val="20"/>
          <w:szCs w:val="20"/>
          <w:lang w:val="es-ES_tradnl"/>
        </w:rPr>
        <w:t xml:space="preserve"> (P4.UOC). En cambio, la frecuencia en que se alude a las competencias específicas es significativamente menor (3), quizá porque, como ellos mismos afirman, las competencias específicas siempre han estado, más o menos explícitamente, en la enseñanza tradicional. </w:t>
      </w:r>
      <w:r w:rsidRPr="00BB6A23">
        <w:rPr>
          <w:rFonts w:ascii="Palatino Linotype" w:eastAsia="Calibri" w:hAnsi="Palatino Linotype" w:cs="Times New Roman"/>
          <w:i/>
          <w:sz w:val="20"/>
          <w:szCs w:val="20"/>
          <w:lang w:val="es-ES_tradnl"/>
        </w:rPr>
        <w:t>A nivel de competencias específicas no veo una diferencia</w:t>
      </w:r>
      <w:r w:rsidRPr="00BB6A23">
        <w:rPr>
          <w:rFonts w:ascii="Palatino Linotype" w:eastAsia="Calibri" w:hAnsi="Palatino Linotype" w:cs="Times New Roman"/>
          <w:sz w:val="20"/>
          <w:szCs w:val="20"/>
          <w:lang w:val="es-ES_tradnl"/>
        </w:rPr>
        <w:t xml:space="preserve"> (P4.UOC).</w:t>
      </w:r>
    </w:p>
    <w:p w:rsidR="00AA3FB5" w:rsidRDefault="00BB6A23" w:rsidP="00AA3FB5">
      <w:pPr>
        <w:spacing w:after="0" w:line="240" w:lineRule="exact"/>
        <w:ind w:left="100" w:right="38" w:firstLine="283"/>
        <w:jc w:val="both"/>
        <w:rPr>
          <w:rFonts w:ascii="Palatino Linotype" w:eastAsia="Calibri" w:hAnsi="Palatino Linotype" w:cs="Times New Roman"/>
          <w:sz w:val="20"/>
          <w:szCs w:val="20"/>
          <w:lang w:val="es-ES_tradnl"/>
        </w:rPr>
      </w:pPr>
      <w:r w:rsidRPr="00BB6A23">
        <w:rPr>
          <w:rFonts w:ascii="Palatino Linotype" w:eastAsia="Calibri" w:hAnsi="Palatino Linotype" w:cs="Times New Roman"/>
          <w:sz w:val="20"/>
          <w:szCs w:val="20"/>
          <w:lang w:val="es-ES_tradnl"/>
        </w:rPr>
        <w:t>Consideran, en este sentido, que, aunque se ha avanzado en el desarrollo de las competencias transversales (</w:t>
      </w:r>
      <w:r w:rsidRPr="00BB6A23">
        <w:rPr>
          <w:rFonts w:ascii="Palatino Linotype" w:eastAsia="Calibri" w:hAnsi="Palatino Linotype" w:cs="Times New Roman"/>
          <w:i/>
          <w:sz w:val="20"/>
          <w:szCs w:val="20"/>
          <w:lang w:val="es-ES"/>
        </w:rPr>
        <w:t>En otras competencias más transversales sí que creo que hemos mejorado bastante</w:t>
      </w:r>
      <w:r w:rsidRPr="00BB6A23">
        <w:rPr>
          <w:rFonts w:ascii="Palatino Linotype" w:eastAsia="Calibri" w:hAnsi="Palatino Linotype" w:cs="Times New Roman"/>
          <w:sz w:val="20"/>
          <w:szCs w:val="20"/>
          <w:lang w:val="es-ES"/>
        </w:rPr>
        <w:t xml:space="preserve"> (P9.UIB)</w:t>
      </w:r>
      <w:r w:rsidRPr="00BB6A23">
        <w:rPr>
          <w:rFonts w:ascii="Palatino Linotype" w:eastAsia="Calibri" w:hAnsi="Palatino Linotype" w:cs="Times New Roman"/>
          <w:sz w:val="20"/>
          <w:szCs w:val="20"/>
          <w:lang w:val="es-ES_tradnl"/>
        </w:rPr>
        <w:t>, aún no se han abordado adecuadamente</w:t>
      </w:r>
      <w:r w:rsidR="00753DAB">
        <w:rPr>
          <w:rFonts w:ascii="Palatino Linotype" w:eastAsia="Calibri" w:hAnsi="Palatino Linotype" w:cs="Times New Roman"/>
          <w:sz w:val="20"/>
          <w:szCs w:val="20"/>
          <w:lang w:val="es-ES_tradnl"/>
        </w:rPr>
        <w:t>.</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Si todo eso (</w:t>
      </w:r>
      <w:r w:rsidRPr="00BB6A23">
        <w:rPr>
          <w:rFonts w:ascii="Palatino Linotype" w:eastAsia="Calibri" w:hAnsi="Palatino Linotype" w:cs="Times New Roman"/>
          <w:sz w:val="20"/>
          <w:szCs w:val="20"/>
          <w:lang w:val="es-ES_tradnl"/>
        </w:rPr>
        <w:t>en referencia a las competencias transversales</w:t>
      </w:r>
      <w:r w:rsidRPr="00BB6A23">
        <w:rPr>
          <w:rFonts w:ascii="Palatino Linotype" w:eastAsia="Calibri" w:hAnsi="Palatino Linotype" w:cs="Times New Roman"/>
          <w:i/>
          <w:sz w:val="20"/>
          <w:szCs w:val="20"/>
          <w:lang w:val="es-ES_tradnl"/>
        </w:rPr>
        <w:t xml:space="preserve">) se formara también en la universidad, ese salto que tenemos en este país entre la empresa, la </w:t>
      </w:r>
      <w:r w:rsidRPr="00BB6A23">
        <w:rPr>
          <w:rFonts w:ascii="Palatino Linotype" w:eastAsia="Calibri" w:hAnsi="Palatino Linotype" w:cs="Times New Roman"/>
          <w:i/>
          <w:sz w:val="20"/>
          <w:szCs w:val="20"/>
          <w:lang w:val="es-ES_tradnl"/>
        </w:rPr>
        <w:tab/>
        <w:t>universidad y el mundo laboral, que es un auté</w:t>
      </w:r>
      <w:r w:rsidR="00AA3FB5">
        <w:rPr>
          <w:rFonts w:ascii="Palatino Linotype" w:eastAsia="Calibri" w:hAnsi="Palatino Linotype" w:cs="Times New Roman"/>
          <w:i/>
          <w:sz w:val="20"/>
          <w:szCs w:val="20"/>
          <w:lang w:val="es-ES_tradnl"/>
        </w:rPr>
        <w:t xml:space="preserve">ntico tabú, sería menor para el </w:t>
      </w:r>
      <w:r w:rsidRPr="00BB6A23">
        <w:rPr>
          <w:rFonts w:ascii="Palatino Linotype" w:eastAsia="Calibri" w:hAnsi="Palatino Linotype" w:cs="Times New Roman"/>
          <w:i/>
          <w:sz w:val="20"/>
          <w:szCs w:val="20"/>
          <w:lang w:val="es-ES_tradnl"/>
        </w:rPr>
        <w:t>alumnado, para la empresa y también para nosotros</w:t>
      </w:r>
      <w:r w:rsidRPr="00BB6A23">
        <w:rPr>
          <w:rFonts w:ascii="Palatino Linotype" w:eastAsia="Calibri" w:hAnsi="Palatino Linotype" w:cs="Times New Roman"/>
          <w:sz w:val="20"/>
          <w:szCs w:val="20"/>
          <w:lang w:val="es-ES_tradnl"/>
        </w:rPr>
        <w:t>. (P8.UGR)</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_tradnl"/>
        </w:rPr>
        <w:t xml:space="preserve">Entre las competencias transversales más recurridas por los docentes universitarios figuran: el trabajo en equipo, expresión oral-escrita y habilidades comunicativas y aplicación de la teoría a la práctica. </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todo esto lo hacemos a través del trabajo en equipo porque es una competencia valorada para incorporar</w:t>
      </w:r>
      <w:r w:rsidR="00E50E4E">
        <w:rPr>
          <w:rFonts w:ascii="Palatino Linotype" w:eastAsia="Calibri" w:hAnsi="Palatino Linotype" w:cs="Times New Roman"/>
          <w:sz w:val="20"/>
          <w:szCs w:val="20"/>
          <w:lang w:val="es-ES_tradnl"/>
        </w:rPr>
        <w:t xml:space="preserve"> (P3.UOC)</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También tienen que saber escribir y redactar informes que aquí también encontramos un punto débil</w:t>
      </w:r>
      <w:r w:rsidR="00E50E4E">
        <w:rPr>
          <w:rFonts w:ascii="Palatino Linotype" w:eastAsia="Calibri" w:hAnsi="Palatino Linotype" w:cs="Times New Roman"/>
          <w:sz w:val="20"/>
          <w:szCs w:val="20"/>
          <w:lang w:val="es-ES_tradnl"/>
        </w:rPr>
        <w:t xml:space="preserve"> (P7.UOC)</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_tradnl"/>
        </w:rPr>
        <w:t>Las competencias transversales menos aludidas son: compromiso social y dominio de una lengua extranjera.</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_tradnl"/>
        </w:rPr>
        <w:t xml:space="preserve">Si nos centramos en la categoría relativa a las </w:t>
      </w:r>
      <w:r w:rsidRPr="00BB6A23">
        <w:rPr>
          <w:rFonts w:ascii="Palatino Linotype" w:eastAsia="Calibri" w:hAnsi="Palatino Linotype" w:cs="Times New Roman"/>
          <w:b/>
          <w:sz w:val="20"/>
          <w:szCs w:val="20"/>
          <w:lang w:val="es-ES_tradnl"/>
        </w:rPr>
        <w:t>dificultades</w:t>
      </w:r>
      <w:r w:rsidRPr="00BB6A23">
        <w:rPr>
          <w:rFonts w:ascii="Palatino Linotype" w:eastAsia="Calibri" w:hAnsi="Palatino Linotype" w:cs="Times New Roman"/>
          <w:sz w:val="20"/>
          <w:szCs w:val="20"/>
          <w:lang w:val="es-ES_tradnl"/>
        </w:rPr>
        <w:t xml:space="preserve"> que comporta la adopción del enfoque por competencias, el profesorado considera que el mayor </w:t>
      </w:r>
      <w:r w:rsidRPr="00BB6A23">
        <w:rPr>
          <w:rFonts w:ascii="Palatino Linotype" w:eastAsia="Calibri" w:hAnsi="Palatino Linotype" w:cs="Times New Roman"/>
          <w:sz w:val="20"/>
          <w:szCs w:val="20"/>
          <w:lang w:val="es-ES_tradnl"/>
        </w:rPr>
        <w:lastRenderedPageBreak/>
        <w:t xml:space="preserve">contratiempo es la falta de formación y apoyo institucional al profesorado, el carácter prescriptivo de las competencias, la falta de coordinación y, en menor medida, </w:t>
      </w:r>
      <w:r w:rsidR="002622A0">
        <w:rPr>
          <w:rFonts w:ascii="Palatino Linotype" w:eastAsia="Calibri" w:hAnsi="Palatino Linotype" w:cs="Times New Roman"/>
          <w:sz w:val="20"/>
          <w:szCs w:val="20"/>
          <w:lang w:val="es-ES_tradnl"/>
        </w:rPr>
        <w:t>la evaluación de</w:t>
      </w:r>
      <w:r w:rsidRPr="00BB6A23">
        <w:rPr>
          <w:rFonts w:ascii="Palatino Linotype" w:eastAsia="Calibri" w:hAnsi="Palatino Linotype" w:cs="Times New Roman"/>
          <w:sz w:val="20"/>
          <w:szCs w:val="20"/>
          <w:lang w:val="es-ES_tradnl"/>
        </w:rPr>
        <w:t xml:space="preserve"> competencias, el individualismo</w:t>
      </w:r>
      <w:r w:rsidR="002622A0">
        <w:rPr>
          <w:rFonts w:ascii="Palatino Linotype" w:eastAsia="Calibri" w:hAnsi="Palatino Linotype" w:cs="Times New Roman"/>
          <w:sz w:val="20"/>
          <w:szCs w:val="20"/>
          <w:lang w:val="es-ES_tradnl"/>
        </w:rPr>
        <w:t>, l</w:t>
      </w:r>
      <w:r w:rsidRPr="00BB6A23">
        <w:rPr>
          <w:rFonts w:ascii="Palatino Linotype" w:eastAsia="Calibri" w:hAnsi="Palatino Linotype" w:cs="Times New Roman"/>
          <w:sz w:val="20"/>
          <w:szCs w:val="20"/>
          <w:lang w:val="es-ES_tradnl"/>
        </w:rPr>
        <w:t>a falta de compromiso del alumnado y el hecho de que la formación en competencias no se aborde en otros niveles educativos no universitarios.</w:t>
      </w:r>
    </w:p>
    <w:p w:rsidR="00AA3FB5" w:rsidRDefault="00BB6A23" w:rsidP="00AA3FB5">
      <w:pPr>
        <w:spacing w:after="0" w:line="240" w:lineRule="exact"/>
        <w:ind w:left="100" w:right="38" w:firstLine="283"/>
        <w:jc w:val="both"/>
        <w:rPr>
          <w:rFonts w:ascii="Palatino Linotype" w:eastAsia="Calibri" w:hAnsi="Palatino Linotype" w:cs="Times New Roman"/>
          <w:sz w:val="20"/>
          <w:szCs w:val="20"/>
          <w:lang w:val="es-ES_tradnl"/>
        </w:rPr>
      </w:pPr>
      <w:r w:rsidRPr="00BB6A23">
        <w:rPr>
          <w:rFonts w:ascii="Palatino Linotype" w:eastAsia="Calibri" w:hAnsi="Palatino Linotype" w:cs="Times New Roman"/>
          <w:sz w:val="20"/>
          <w:szCs w:val="20"/>
          <w:lang w:val="es-ES_tradnl"/>
        </w:rPr>
        <w:t xml:space="preserve">A lo largo de las discusiones, los docentes han reconocido, de manera reiterada, su escasa preparación para llevar a cabo la formación por competencias, así como la falta de apoyo </w:t>
      </w:r>
      <w:r w:rsidR="00AA3FB5">
        <w:rPr>
          <w:rFonts w:ascii="Palatino Linotype" w:eastAsia="Calibri" w:hAnsi="Palatino Linotype" w:cs="Times New Roman"/>
          <w:sz w:val="20"/>
          <w:szCs w:val="20"/>
          <w:lang w:val="es-ES_tradnl"/>
        </w:rPr>
        <w:t>institucional que han recibido.</w:t>
      </w:r>
    </w:p>
    <w:p w:rsidR="00AA3FB5" w:rsidRDefault="00BB6A23" w:rsidP="00AA3FB5">
      <w:pPr>
        <w:spacing w:after="0" w:line="240" w:lineRule="exact"/>
        <w:ind w:left="100" w:right="38" w:firstLine="283"/>
        <w:jc w:val="both"/>
        <w:rPr>
          <w:rFonts w:ascii="Palatino Linotype" w:eastAsia="Calibri" w:hAnsi="Palatino Linotype" w:cs="Times New Roman"/>
          <w:sz w:val="20"/>
          <w:szCs w:val="20"/>
          <w:lang w:val="es-ES_tradnl"/>
        </w:rPr>
      </w:pPr>
      <w:r w:rsidRPr="00BB6A23">
        <w:rPr>
          <w:rFonts w:ascii="Palatino Linotype" w:eastAsia="Calibri" w:hAnsi="Palatino Linotype" w:cs="Times New Roman"/>
          <w:i/>
          <w:sz w:val="20"/>
          <w:szCs w:val="20"/>
          <w:lang w:val="es-ES_tradnl"/>
        </w:rPr>
        <w:t>Y en estos treinta y muchos años de docencia, pues uno ha ido improvisando y me temo que, con el nuevo procedimiento de enseñar transmitiendo competencias, pues estamos de nuevo improvisando. Nadie nos ha enseñado ni nos ha sugerido el cómo se debe hacer esta transmisión de competencias</w:t>
      </w:r>
      <w:r w:rsidR="00AA3FB5">
        <w:rPr>
          <w:rFonts w:ascii="Palatino Linotype" w:eastAsia="Calibri" w:hAnsi="Palatino Linotype" w:cs="Times New Roman"/>
          <w:sz w:val="20"/>
          <w:szCs w:val="20"/>
          <w:lang w:val="es-ES_tradnl"/>
        </w:rPr>
        <w:t xml:space="preserve"> (P5.UGR)</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
        </w:rPr>
        <w:t>Pero yo creo que tenemos un problema sobre las competencias: no sabemos, es voluntarismo todo, y no está reconocido por los centros ni evidentemente por la universidad. Lo veo muy lejos</w:t>
      </w:r>
      <w:r w:rsidR="00E50E4E">
        <w:rPr>
          <w:rFonts w:ascii="Palatino Linotype" w:eastAsia="Calibri" w:hAnsi="Palatino Linotype" w:cs="Times New Roman"/>
          <w:sz w:val="20"/>
          <w:szCs w:val="20"/>
          <w:lang w:val="es-ES"/>
        </w:rPr>
        <w:t xml:space="preserve"> (P5.UB)</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
        </w:rPr>
        <w:t>Esta falta de formación docente y el escaso apoyo proporcionado por la institución universitaria dificultan un desempeño profesional eficaz y satisfactorio que, como han reconocido los propios docentes, repercute en la actitud del profesorado, en su práctica y en los resultados de aprendizaje.</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Soy un poco escéptica con este modelo por competencias. Quizás lo que me pasa es que me falta formación</w:t>
      </w:r>
      <w:r w:rsidR="00E50E4E">
        <w:rPr>
          <w:rFonts w:ascii="Palatino Linotype" w:eastAsia="Calibri" w:hAnsi="Palatino Linotype" w:cs="Times New Roman"/>
          <w:sz w:val="20"/>
          <w:szCs w:val="20"/>
          <w:lang w:val="es-ES_tradnl"/>
        </w:rPr>
        <w:t xml:space="preserve"> (P3.UOC)</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Simplemente he intentado que la evaluación reflejase aquellas competencias que eran importantes. Pero no las he conseguido mejorar ni lo voy a conseguir. No se me ocurre nada</w:t>
      </w:r>
      <w:r w:rsidRPr="00BB6A23">
        <w:rPr>
          <w:rFonts w:ascii="Palatino Linotype" w:eastAsia="Calibri" w:hAnsi="Palatino Linotype" w:cs="Times New Roman"/>
          <w:sz w:val="20"/>
          <w:szCs w:val="20"/>
          <w:lang w:val="es-ES_tradnl"/>
        </w:rPr>
        <w:t xml:space="preserve"> (P5.UIB).</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_tradnl"/>
        </w:rPr>
        <w:t xml:space="preserve">Consideran, así mismo, que sería necesario intensificar y extender la colaboración y coordinación de las acciones formativas dentro y fuera de la universidad. </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No solo estrategias colaborativas en el aula, sino ellos como profesionales tienen que coordinarse con los otros profesionales</w:t>
      </w:r>
      <w:r w:rsidRPr="00BB6A23">
        <w:rPr>
          <w:rFonts w:ascii="Palatino Linotype" w:eastAsia="Calibri" w:hAnsi="Palatino Linotype" w:cs="Times New Roman"/>
          <w:sz w:val="20"/>
          <w:szCs w:val="20"/>
          <w:lang w:val="es-ES_tradnl"/>
        </w:rPr>
        <w:t xml:space="preserve"> (P1.URV)</w:t>
      </w:r>
    </w:p>
    <w:p w:rsidR="00AA3FB5" w:rsidRDefault="00BB6A23" w:rsidP="00AA3FB5">
      <w:pPr>
        <w:spacing w:after="0" w:line="240" w:lineRule="exact"/>
        <w:ind w:left="100" w:right="38" w:firstLine="283"/>
        <w:jc w:val="both"/>
        <w:rPr>
          <w:rFonts w:ascii="Palatino Linotype" w:eastAsia="Calibri" w:hAnsi="Palatino Linotype" w:cs="Times New Roman"/>
          <w:sz w:val="20"/>
          <w:szCs w:val="20"/>
          <w:lang w:val="es-ES_tradnl"/>
        </w:rPr>
      </w:pPr>
      <w:r w:rsidRPr="00BB6A23">
        <w:rPr>
          <w:rFonts w:ascii="Palatino Linotype" w:eastAsia="Calibri" w:hAnsi="Palatino Linotype" w:cs="Times New Roman"/>
          <w:sz w:val="20"/>
          <w:szCs w:val="20"/>
          <w:lang w:val="es-ES_tradnl"/>
        </w:rPr>
        <w:t xml:space="preserve">Por otra parte, el carácter prescriptivo conferido a las competencias que figuran en los planes de formación y en las guías docentes parece generar cierto malestar entre el profesorado que termina considerándolas un obstáculo para la innovación y mejora del </w:t>
      </w:r>
      <w:r w:rsidR="00AA3FB5">
        <w:rPr>
          <w:rFonts w:ascii="Palatino Linotype" w:eastAsia="Calibri" w:hAnsi="Palatino Linotype" w:cs="Times New Roman"/>
          <w:sz w:val="20"/>
          <w:szCs w:val="20"/>
          <w:lang w:val="es-ES_tradnl"/>
        </w:rPr>
        <w:t xml:space="preserve"> proceso enseñanza-aprendizaje.</w:t>
      </w:r>
    </w:p>
    <w:p w:rsidR="00AA3FB5" w:rsidRDefault="00BB6A23" w:rsidP="00AA3FB5">
      <w:pPr>
        <w:spacing w:after="0" w:line="240" w:lineRule="exact"/>
        <w:ind w:left="100" w:right="38" w:firstLine="283"/>
        <w:jc w:val="both"/>
        <w:rPr>
          <w:rFonts w:ascii="Palatino Linotype" w:eastAsia="Calibri" w:hAnsi="Palatino Linotype" w:cs="Times New Roman"/>
          <w:sz w:val="20"/>
          <w:szCs w:val="20"/>
          <w:lang w:val="es-ES_tradnl"/>
        </w:rPr>
      </w:pPr>
      <w:r w:rsidRPr="00BB6A23">
        <w:rPr>
          <w:rFonts w:ascii="Palatino Linotype" w:eastAsia="Calibri" w:hAnsi="Palatino Linotype" w:cs="Times New Roman"/>
          <w:i/>
          <w:sz w:val="20"/>
          <w:szCs w:val="20"/>
          <w:lang w:val="es-ES_tradnl"/>
        </w:rPr>
        <w:t>Para mí, la realidad es esta: que las competencias son códigos que están impuestos, que alguien decidió que eran esos, y ya está. Y se copian y se pegan</w:t>
      </w:r>
      <w:r w:rsidR="00AA3FB5">
        <w:rPr>
          <w:rFonts w:ascii="Palatino Linotype" w:eastAsia="Calibri" w:hAnsi="Palatino Linotype" w:cs="Times New Roman"/>
          <w:sz w:val="20"/>
          <w:szCs w:val="20"/>
          <w:lang w:val="es-ES_tradnl"/>
        </w:rPr>
        <w:t>. (P8.UIB)</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El establecer guías que nosotros lo hemos tomado como un contrato con el alumno. Entonces, nos están encorsetando y no nos dejan creatividad en clase. Es decir, si a mí se me ocurre hacer algo distinto a lo que dicen las guías o el tema de la evaluación, por innovar, no lo puedo hacer porque en la guía no está establecido.</w:t>
      </w:r>
      <w:r w:rsidRPr="00BB6A23">
        <w:rPr>
          <w:rFonts w:ascii="Palatino Linotype" w:eastAsia="Calibri" w:hAnsi="Palatino Linotype" w:cs="Times New Roman"/>
          <w:sz w:val="20"/>
          <w:szCs w:val="20"/>
          <w:lang w:val="es-ES_tradnl"/>
        </w:rPr>
        <w:t xml:space="preserve"> (P1.UGR)</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_tradnl"/>
        </w:rPr>
      </w:pPr>
      <w:r w:rsidRPr="00BB6A23">
        <w:rPr>
          <w:rFonts w:ascii="Palatino Linotype" w:eastAsia="Calibri" w:hAnsi="Palatino Linotype" w:cs="Times New Roman"/>
          <w:sz w:val="20"/>
          <w:szCs w:val="20"/>
          <w:lang w:val="es-ES_tradnl"/>
        </w:rPr>
        <w:t>Los docentes universitarios inciden en la dificultad que entraña la evaluación de competencias en el ámbito académico</w:t>
      </w:r>
      <w:r w:rsidR="001121C8">
        <w:rPr>
          <w:rFonts w:ascii="Palatino Linotype" w:eastAsia="Calibri" w:hAnsi="Palatino Linotype" w:cs="Times New Roman"/>
          <w:sz w:val="20"/>
          <w:szCs w:val="20"/>
          <w:lang w:val="es-ES_tradnl"/>
        </w:rPr>
        <w:t>.</w:t>
      </w:r>
      <w:r w:rsidRPr="00BB6A23">
        <w:rPr>
          <w:rFonts w:ascii="Palatino Linotype" w:eastAsia="Calibri" w:hAnsi="Palatino Linotype" w:cs="Times New Roman"/>
          <w:sz w:val="20"/>
          <w:szCs w:val="20"/>
          <w:lang w:val="es-ES_tradnl"/>
        </w:rPr>
        <w:t xml:space="preserve"> Consideran que el contexto universitario no permite evaluar si el alumno posee o no ciertas competencias, ni el grado en que las ha adquirido porque se trabaja sobre situaciones que no son reales. </w:t>
      </w:r>
      <w:r w:rsidR="001121C8">
        <w:rPr>
          <w:rFonts w:ascii="Palatino Linotype" w:eastAsia="Calibri" w:hAnsi="Palatino Linotype" w:cs="Times New Roman"/>
          <w:sz w:val="20"/>
          <w:szCs w:val="20"/>
          <w:lang w:val="es-ES_tradnl"/>
        </w:rPr>
        <w:t xml:space="preserve">En su opinión, </w:t>
      </w:r>
      <w:r w:rsidRPr="00BB6A23">
        <w:rPr>
          <w:rFonts w:ascii="Palatino Linotype" w:eastAsia="Calibri" w:hAnsi="Palatino Linotype" w:cs="Times New Roman"/>
          <w:sz w:val="20"/>
          <w:szCs w:val="20"/>
          <w:lang w:val="es-ES_tradnl"/>
        </w:rPr>
        <w:t>la evaluación por competencias debe realizarse en el ámbito profesional.</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
        </w:rPr>
        <w:t xml:space="preserve">… resolver situaciones complejas en un contexto determinado, yo planteo ¿cómo podemos </w:t>
      </w:r>
      <w:r w:rsidRPr="00BB6A23">
        <w:rPr>
          <w:rFonts w:ascii="Palatino Linotype" w:eastAsia="Calibri" w:hAnsi="Palatino Linotype" w:cs="Times New Roman"/>
          <w:i/>
          <w:sz w:val="20"/>
          <w:szCs w:val="20"/>
          <w:lang w:val="es-ES"/>
        </w:rPr>
        <w:lastRenderedPageBreak/>
        <w:t>evaluar competencias que se tendrán que desarrollar en un contexto profesional, cuando no están en un contexto profesional? Quizás les podemos ir orientando sobre las competencias que aplicará después; pero no sé si en el contexto universitario podemos evaluar todas las competencias</w:t>
      </w:r>
      <w:r w:rsidR="00E50E4E">
        <w:rPr>
          <w:rFonts w:ascii="Palatino Linotype" w:eastAsia="Calibri" w:hAnsi="Palatino Linotype" w:cs="Times New Roman"/>
          <w:sz w:val="20"/>
          <w:szCs w:val="20"/>
          <w:lang w:val="es-ES"/>
        </w:rPr>
        <w:t xml:space="preserve"> (P8.UB)</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
        </w:rPr>
        <w:t>Los profesores consideran también que el individualismo y la falta de implicación del alumnado en su aprendizaje representan serios obstáculos para el desarrollo de competencias en el ámbito universitario.</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algunos de los problemas que veo es que tienen fama de trabajar mucho de manera individualista</w:t>
      </w:r>
      <w:r w:rsidRPr="00BB6A23">
        <w:rPr>
          <w:rFonts w:ascii="Palatino Linotype" w:eastAsia="Calibri" w:hAnsi="Palatino Linotype" w:cs="Times New Roman"/>
          <w:sz w:val="20"/>
          <w:szCs w:val="20"/>
          <w:lang w:val="es-ES_tradnl"/>
        </w:rPr>
        <w:t xml:space="preserve"> (P4.URV)</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
        </w:rPr>
        <w:t>Y tienes sorpresas, a veces, de alumnos que no se implican y luego los ves fuera muy implicados …, aquí, en clase, están bloqueados con tanto trabajo</w:t>
      </w:r>
      <w:r w:rsidRPr="00BB6A23">
        <w:rPr>
          <w:rFonts w:ascii="Palatino Linotype" w:eastAsia="Calibri" w:hAnsi="Palatino Linotype" w:cs="Times New Roman"/>
          <w:sz w:val="20"/>
          <w:szCs w:val="20"/>
          <w:lang w:val="es-ES"/>
        </w:rPr>
        <w:t xml:space="preserve"> (P2.URV)</w:t>
      </w:r>
    </w:p>
    <w:p w:rsidR="00AA3FB5" w:rsidRDefault="00BB6A23" w:rsidP="00AA3FB5">
      <w:pPr>
        <w:spacing w:after="0" w:line="240" w:lineRule="exact"/>
        <w:ind w:left="100" w:right="38" w:firstLine="283"/>
        <w:jc w:val="both"/>
        <w:rPr>
          <w:rFonts w:ascii="Palatino Linotype" w:eastAsia="Calibri" w:hAnsi="Palatino Linotype" w:cs="Times New Roman"/>
          <w:sz w:val="20"/>
          <w:szCs w:val="20"/>
          <w:lang w:val="es-ES_tradnl"/>
        </w:rPr>
      </w:pPr>
      <w:r w:rsidRPr="00BB6A23">
        <w:rPr>
          <w:rFonts w:ascii="Palatino Linotype" w:eastAsia="Calibri" w:hAnsi="Palatino Linotype" w:cs="Times New Roman"/>
          <w:sz w:val="20"/>
          <w:szCs w:val="20"/>
          <w:lang w:val="es-ES_tradnl"/>
        </w:rPr>
        <w:t xml:space="preserve">Finalmente, en relación al </w:t>
      </w:r>
      <w:r w:rsidRPr="00BB6A23">
        <w:rPr>
          <w:rFonts w:ascii="Palatino Linotype" w:eastAsia="Calibri" w:hAnsi="Palatino Linotype" w:cs="Times New Roman"/>
          <w:b/>
          <w:sz w:val="20"/>
          <w:szCs w:val="20"/>
          <w:lang w:val="es-ES_tradnl"/>
        </w:rPr>
        <w:t>impacto</w:t>
      </w:r>
      <w:r w:rsidRPr="00BB6A23">
        <w:rPr>
          <w:rFonts w:ascii="Palatino Linotype" w:eastAsia="Calibri" w:hAnsi="Palatino Linotype" w:cs="Times New Roman"/>
          <w:sz w:val="20"/>
          <w:szCs w:val="20"/>
          <w:lang w:val="es-ES_tradnl"/>
        </w:rPr>
        <w:t xml:space="preserve"> del enfoque por competencias, encontramos que las alusiones más frecuentes inciden en que la repercusión en la práctica formativa ha sido nula, seguidas de aquellas </w:t>
      </w:r>
      <w:r w:rsidR="00A72FD5">
        <w:rPr>
          <w:rFonts w:ascii="Palatino Linotype" w:eastAsia="Calibri" w:hAnsi="Palatino Linotype" w:cs="Times New Roman"/>
          <w:sz w:val="20"/>
          <w:szCs w:val="20"/>
          <w:lang w:val="es-ES_tradnl"/>
        </w:rPr>
        <w:t xml:space="preserve">otras </w:t>
      </w:r>
      <w:r w:rsidRPr="00BB6A23">
        <w:rPr>
          <w:rFonts w:ascii="Palatino Linotype" w:eastAsia="Calibri" w:hAnsi="Palatino Linotype" w:cs="Times New Roman"/>
          <w:sz w:val="20"/>
          <w:szCs w:val="20"/>
          <w:lang w:val="es-ES_tradnl"/>
        </w:rPr>
        <w:t xml:space="preserve">que subrayan los efectos positivos, </w:t>
      </w:r>
      <w:r w:rsidR="00A72FD5">
        <w:rPr>
          <w:rFonts w:ascii="Palatino Linotype" w:eastAsia="Calibri" w:hAnsi="Palatino Linotype" w:cs="Times New Roman"/>
          <w:sz w:val="20"/>
          <w:szCs w:val="20"/>
          <w:lang w:val="es-ES_tradnl"/>
        </w:rPr>
        <w:t xml:space="preserve">las que reconocen </w:t>
      </w:r>
      <w:r w:rsidRPr="00BB6A23">
        <w:rPr>
          <w:rFonts w:ascii="Palatino Linotype" w:eastAsia="Calibri" w:hAnsi="Palatino Linotype" w:cs="Times New Roman"/>
          <w:sz w:val="20"/>
          <w:szCs w:val="20"/>
          <w:lang w:val="es-ES_tradnl"/>
        </w:rPr>
        <w:t>que el impacto en el trabajo docente ha sido desigual y, por último, l</w:t>
      </w:r>
      <w:r w:rsidR="00A72FD5">
        <w:rPr>
          <w:rFonts w:ascii="Palatino Linotype" w:eastAsia="Calibri" w:hAnsi="Palatino Linotype" w:cs="Times New Roman"/>
          <w:sz w:val="20"/>
          <w:szCs w:val="20"/>
          <w:lang w:val="es-ES_tradnl"/>
        </w:rPr>
        <w:t>as que subrayan</w:t>
      </w:r>
      <w:r w:rsidRPr="00BB6A23">
        <w:rPr>
          <w:rFonts w:ascii="Palatino Linotype" w:eastAsia="Calibri" w:hAnsi="Palatino Linotype" w:cs="Times New Roman"/>
          <w:sz w:val="20"/>
          <w:szCs w:val="20"/>
          <w:lang w:val="es-ES_tradnl"/>
        </w:rPr>
        <w:t xml:space="preserve"> un incremento en la carga de trabajo del alumnado.</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_tradnl"/>
        </w:rPr>
        <w:t xml:space="preserve"> Son, por tanto, muy frecuentes, los comentarios que inciden en que la práctica formativa no ha cambiado con la incorporación del enfoque por competencias.</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Y estamos dando la misma información, con el mismo método. Y las funciones que van a realizar son las mismas. Por lo menos en nuestro grado, no hay ningún cambio, por lo tanto, desde nuestro punto de vista no supone cambiar nada</w:t>
      </w:r>
      <w:r w:rsidRPr="00BB6A23">
        <w:rPr>
          <w:rFonts w:ascii="Palatino Linotype" w:eastAsia="Calibri" w:hAnsi="Palatino Linotype" w:cs="Times New Roman"/>
          <w:sz w:val="20"/>
          <w:szCs w:val="20"/>
          <w:lang w:val="es-ES_tradnl"/>
        </w:rPr>
        <w:t xml:space="preserve"> (P4.UGR)</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sz w:val="20"/>
          <w:szCs w:val="20"/>
          <w:lang w:val="es-ES"/>
        </w:rPr>
        <w:t xml:space="preserve">Este impacto nulo se debe, como reconocen algunos docentes, al hecho de que ya trabajaban con metodologías activas y desarrollaban competencias antes de la creación del Espacio Europeo de Educación Superior, aunque también asumen que hay docentes que no lo hacían antes, ni ahora tampoco. </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
        </w:rPr>
        <w:t xml:space="preserve">Y también estoy muy de acuerdo en que había mucha gente que ya hacía esto antes de que a alguien se le ocurriera cambiar los planes de estudio y entra dentro de este Espacio Europeo de Educación Superior. Es más, yo diría que la gente que ya intentaba hacer cosas antes, metodologías orientada a proyectos, lo seguimos haciendo. Y la gente que no lo hacía continúa sin hacerlo. </w:t>
      </w:r>
      <w:r w:rsidR="00E50E4E">
        <w:rPr>
          <w:rFonts w:ascii="Palatino Linotype" w:eastAsia="Calibri" w:hAnsi="Palatino Linotype" w:cs="Times New Roman"/>
          <w:sz w:val="20"/>
          <w:szCs w:val="20"/>
          <w:lang w:val="es-ES"/>
        </w:rPr>
        <w:t>(P1.UIB)</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Ahora hablamos de competencias y antes hablábamos de objetivos de  aprendizaje, pero en el fondo nuestros estudiantes han de saber lo mismo</w:t>
      </w:r>
      <w:r w:rsidR="00E50E4E">
        <w:rPr>
          <w:rFonts w:ascii="Palatino Linotype" w:eastAsia="Calibri" w:hAnsi="Palatino Linotype" w:cs="Times New Roman"/>
          <w:sz w:val="20"/>
          <w:szCs w:val="20"/>
          <w:lang w:val="es-ES_tradnl"/>
        </w:rPr>
        <w:t>.” (P2.UOC)</w:t>
      </w:r>
    </w:p>
    <w:p w:rsidR="00AA3FB5" w:rsidRDefault="00BB6A23" w:rsidP="00AA3FB5">
      <w:pPr>
        <w:spacing w:after="0" w:line="240" w:lineRule="exact"/>
        <w:ind w:left="100" w:right="38" w:firstLine="283"/>
        <w:jc w:val="both"/>
        <w:rPr>
          <w:rFonts w:ascii="Palatino Linotype" w:eastAsia="Calibri" w:hAnsi="Palatino Linotype" w:cs="Times New Roman"/>
          <w:sz w:val="20"/>
          <w:szCs w:val="20"/>
          <w:lang w:val="es-ES_tradnl"/>
        </w:rPr>
      </w:pPr>
      <w:r w:rsidRPr="00BB6A23">
        <w:rPr>
          <w:rFonts w:ascii="Palatino Linotype" w:eastAsia="Calibri" w:hAnsi="Palatino Linotype" w:cs="Times New Roman"/>
          <w:sz w:val="20"/>
          <w:szCs w:val="20"/>
          <w:lang w:val="es-ES"/>
        </w:rPr>
        <w:t xml:space="preserve">Son menos las </w:t>
      </w:r>
      <w:r w:rsidR="00930154">
        <w:rPr>
          <w:rFonts w:ascii="Palatino Linotype" w:eastAsia="Calibri" w:hAnsi="Palatino Linotype" w:cs="Times New Roman"/>
          <w:sz w:val="20"/>
          <w:szCs w:val="20"/>
          <w:lang w:val="es-ES"/>
        </w:rPr>
        <w:t>referencias</w:t>
      </w:r>
      <w:r w:rsidRPr="00BB6A23">
        <w:rPr>
          <w:rFonts w:ascii="Palatino Linotype" w:eastAsia="Calibri" w:hAnsi="Palatino Linotype" w:cs="Times New Roman"/>
          <w:sz w:val="20"/>
          <w:szCs w:val="20"/>
          <w:lang w:val="es-ES"/>
        </w:rPr>
        <w:t xml:space="preserve"> en las que se asume que ha </w:t>
      </w:r>
      <w:r w:rsidR="00930154">
        <w:rPr>
          <w:rFonts w:ascii="Palatino Linotype" w:eastAsia="Calibri" w:hAnsi="Palatino Linotype" w:cs="Times New Roman"/>
          <w:sz w:val="20"/>
          <w:szCs w:val="20"/>
          <w:lang w:val="es-ES"/>
        </w:rPr>
        <w:t>mejorado</w:t>
      </w:r>
      <w:r w:rsidRPr="00BB6A23">
        <w:rPr>
          <w:rFonts w:ascii="Palatino Linotype" w:eastAsia="Calibri" w:hAnsi="Palatino Linotype" w:cs="Times New Roman"/>
          <w:sz w:val="20"/>
          <w:szCs w:val="20"/>
          <w:lang w:val="es-ES"/>
        </w:rPr>
        <w:t xml:space="preserve"> la </w:t>
      </w:r>
      <w:r w:rsidR="00930154">
        <w:rPr>
          <w:rFonts w:ascii="Palatino Linotype" w:eastAsia="Calibri" w:hAnsi="Palatino Linotype" w:cs="Times New Roman"/>
          <w:sz w:val="20"/>
          <w:szCs w:val="20"/>
          <w:lang w:val="es-ES"/>
        </w:rPr>
        <w:t xml:space="preserve">formación o </w:t>
      </w:r>
      <w:r w:rsidRPr="00BB6A23">
        <w:rPr>
          <w:rFonts w:ascii="Palatino Linotype" w:eastAsia="Calibri" w:hAnsi="Palatino Linotype" w:cs="Times New Roman"/>
          <w:sz w:val="20"/>
          <w:szCs w:val="20"/>
          <w:lang w:val="es-ES"/>
        </w:rPr>
        <w:t xml:space="preserve"> algunos aspectos de la misma. Concretamente, </w:t>
      </w:r>
      <w:r w:rsidRPr="00BB6A23">
        <w:rPr>
          <w:rFonts w:ascii="Palatino Linotype" w:eastAsia="Calibri" w:hAnsi="Palatino Linotype" w:cs="Times New Roman"/>
          <w:sz w:val="20"/>
          <w:szCs w:val="20"/>
          <w:lang w:val="es-ES_tradnl"/>
        </w:rPr>
        <w:t>los docentes reconocen que se ha mejorado la retroalimentación ofrecida al alumnado, la expresión oral-escrita, la participación de los estudiantes y el trabajo en gr</w:t>
      </w:r>
      <w:r w:rsidR="00AA3FB5">
        <w:rPr>
          <w:rFonts w:ascii="Palatino Linotype" w:eastAsia="Calibri" w:hAnsi="Palatino Linotype" w:cs="Times New Roman"/>
          <w:sz w:val="20"/>
          <w:szCs w:val="20"/>
          <w:lang w:val="es-ES_tradnl"/>
        </w:rPr>
        <w:t>upo</w:t>
      </w:r>
      <w:r w:rsidR="00930154">
        <w:rPr>
          <w:rFonts w:ascii="Palatino Linotype" w:eastAsia="Calibri" w:hAnsi="Palatino Linotype" w:cs="Times New Roman"/>
          <w:sz w:val="20"/>
          <w:szCs w:val="20"/>
          <w:lang w:val="es-ES_tradnl"/>
        </w:rPr>
        <w:t>,</w:t>
      </w:r>
      <w:r w:rsidR="00AA3FB5">
        <w:rPr>
          <w:rFonts w:ascii="Palatino Linotype" w:eastAsia="Calibri" w:hAnsi="Palatino Linotype" w:cs="Times New Roman"/>
          <w:sz w:val="20"/>
          <w:szCs w:val="20"/>
          <w:lang w:val="es-ES_tradnl"/>
        </w:rPr>
        <w:t xml:space="preserve"> y los resultados académicos.</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Allí se resuelve, lo escriben, me lo entregan y lo corrijo para el próximo día que lo tengan. Y esto es el efecto de mejora que yo veo. Que no me lo ha dicho nadie. Que es muchísimo trabajo. He llegado a tener 72 estudiantes, es decir, mucho trabajo. Pero me da igual. Yo creo que así aprenden</w:t>
      </w:r>
      <w:r w:rsidRPr="00BB6A23">
        <w:rPr>
          <w:rFonts w:ascii="Palatino Linotype" w:eastAsia="Calibri" w:hAnsi="Palatino Linotype" w:cs="Times New Roman"/>
          <w:sz w:val="20"/>
          <w:szCs w:val="20"/>
          <w:lang w:val="es-ES_tradnl"/>
        </w:rPr>
        <w:t>. (P10.UIB)</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
        </w:rPr>
        <w:t>Todo esto sí que antes no se hacía para nada y ahora sí que les hacen hacer problemas en grupo, fomentar mucha más participación en clase (no como antes, que yo les hacía los problemas a la pizarra). Ahora no, ahora ellos tienen que salir a la pizarra</w:t>
      </w:r>
      <w:r w:rsidRPr="00BB6A23">
        <w:rPr>
          <w:rFonts w:ascii="Palatino Linotype" w:eastAsia="Calibri" w:hAnsi="Palatino Linotype" w:cs="Times New Roman"/>
          <w:sz w:val="20"/>
          <w:szCs w:val="20"/>
          <w:lang w:val="es-ES"/>
        </w:rPr>
        <w:t xml:space="preserve"> (P9.UIB)</w:t>
      </w:r>
    </w:p>
    <w:p w:rsidR="00AA3FB5"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
        </w:rPr>
        <w:t xml:space="preserve">Entonces sí que es cierto que hemos hecho avances importantes, ha aumentado la tasa de </w:t>
      </w:r>
      <w:r w:rsidRPr="00BB6A23">
        <w:rPr>
          <w:rFonts w:ascii="Palatino Linotype" w:eastAsia="Calibri" w:hAnsi="Palatino Linotype" w:cs="Times New Roman"/>
          <w:i/>
          <w:sz w:val="20"/>
          <w:szCs w:val="20"/>
          <w:lang w:val="es-ES"/>
        </w:rPr>
        <w:lastRenderedPageBreak/>
        <w:t>éxito en esta asignatura y los estudiantes tienen un alto grado de satisfacción</w:t>
      </w:r>
      <w:r w:rsidRPr="00BB6A23">
        <w:rPr>
          <w:rFonts w:ascii="Palatino Linotype" w:eastAsia="Calibri" w:hAnsi="Palatino Linotype" w:cs="Times New Roman"/>
          <w:sz w:val="20"/>
          <w:szCs w:val="20"/>
          <w:lang w:val="es-ES"/>
        </w:rPr>
        <w:t xml:space="preserve"> (P5.UB)</w:t>
      </w:r>
    </w:p>
    <w:p w:rsidR="00AA3FB5" w:rsidRDefault="00BB6A23" w:rsidP="00AA3FB5">
      <w:pPr>
        <w:spacing w:after="0" w:line="240" w:lineRule="exact"/>
        <w:ind w:left="100" w:right="38" w:firstLine="283"/>
        <w:jc w:val="both"/>
        <w:rPr>
          <w:rFonts w:ascii="Palatino Linotype" w:eastAsia="Calibri" w:hAnsi="Palatino Linotype" w:cs="Times New Roman"/>
          <w:sz w:val="20"/>
          <w:szCs w:val="20"/>
          <w:lang w:val="es-ES_tradnl"/>
        </w:rPr>
      </w:pPr>
      <w:r w:rsidRPr="00BB6A23">
        <w:rPr>
          <w:rFonts w:ascii="Palatino Linotype" w:eastAsia="Calibri" w:hAnsi="Palatino Linotype" w:cs="Times New Roman"/>
          <w:sz w:val="20"/>
          <w:szCs w:val="20"/>
          <w:lang w:val="es-ES_tradnl"/>
        </w:rPr>
        <w:t>Sin embargo, el profesorado del estudio considera que el enfoque por competencias, tal y como se está implementando, ha supuesto un aumento del tr</w:t>
      </w:r>
      <w:r w:rsidR="00AA3FB5">
        <w:rPr>
          <w:rFonts w:ascii="Palatino Linotype" w:eastAsia="Calibri" w:hAnsi="Palatino Linotype" w:cs="Times New Roman"/>
          <w:sz w:val="20"/>
          <w:szCs w:val="20"/>
          <w:lang w:val="es-ES_tradnl"/>
        </w:rPr>
        <w:t>abajo para los estudiante.</w:t>
      </w:r>
    </w:p>
    <w:p w:rsidR="00BB6A23" w:rsidRPr="00BB6A23" w:rsidRDefault="00BB6A23" w:rsidP="00AA3FB5">
      <w:pPr>
        <w:spacing w:after="0" w:line="240" w:lineRule="exact"/>
        <w:ind w:left="100" w:right="38" w:firstLine="283"/>
        <w:jc w:val="both"/>
        <w:rPr>
          <w:rFonts w:ascii="Palatino Linotype" w:eastAsia="Palatino Linotype" w:hAnsi="Palatino Linotype" w:cs="Palatino Linotype"/>
          <w:i/>
          <w:color w:val="231F20"/>
          <w:spacing w:val="-2"/>
          <w:sz w:val="18"/>
          <w:szCs w:val="18"/>
          <w:lang w:val="es-ES"/>
        </w:rPr>
      </w:pPr>
      <w:r w:rsidRPr="00BB6A23">
        <w:rPr>
          <w:rFonts w:ascii="Palatino Linotype" w:eastAsia="Calibri" w:hAnsi="Palatino Linotype" w:cs="Times New Roman"/>
          <w:i/>
          <w:sz w:val="20"/>
          <w:szCs w:val="20"/>
          <w:lang w:val="es-ES_tradnl"/>
        </w:rPr>
        <w:t>Porque también es verdad que tienen una carga de trabajo horrible que no controla nadie. Yo las primeras semanas tengo la clase hasta las últimas filas y entonces empiezo a ver las filas vacías porque tienen una presentación o cualquier otra cosa. Tienen cantidad de trabajos. ¿Por qué tienen que hacer tantos trabajos? ¿Por qué los tienen que hacer todos, si desde bachillerato y la ESO que están haciendo trabajos? Más vale pocas cosas y bien focalizadas</w:t>
      </w:r>
      <w:r w:rsidRPr="00BB6A23">
        <w:rPr>
          <w:rFonts w:ascii="Palatino Linotype" w:eastAsia="Calibri" w:hAnsi="Palatino Linotype" w:cs="Times New Roman"/>
          <w:sz w:val="20"/>
          <w:szCs w:val="20"/>
          <w:lang w:val="es-ES_tradnl"/>
        </w:rPr>
        <w:t xml:space="preserve"> (P5.UB)</w:t>
      </w:r>
    </w:p>
    <w:p w:rsidR="00BB6A23" w:rsidRPr="00EE4BBB" w:rsidRDefault="00BB6A23" w:rsidP="00BB6A23">
      <w:pPr>
        <w:spacing w:after="0" w:line="240" w:lineRule="exact"/>
        <w:ind w:left="100" w:right="38" w:firstLine="283"/>
        <w:jc w:val="both"/>
        <w:rPr>
          <w:sz w:val="24"/>
          <w:szCs w:val="24"/>
          <w:lang w:val="es-ES"/>
        </w:rPr>
      </w:pPr>
    </w:p>
    <w:p w:rsidR="00A00662" w:rsidRPr="00335917" w:rsidRDefault="00734986" w:rsidP="009A4B42">
      <w:pPr>
        <w:spacing w:after="0" w:line="240" w:lineRule="auto"/>
        <w:ind w:right="38"/>
        <w:jc w:val="center"/>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Discusión y conclusiones</w:t>
      </w:r>
    </w:p>
    <w:p w:rsidR="00A00662" w:rsidRPr="00752292" w:rsidRDefault="00A00662" w:rsidP="009A4B42">
      <w:pPr>
        <w:spacing w:after="0" w:line="240" w:lineRule="exact"/>
        <w:ind w:right="38"/>
        <w:rPr>
          <w:sz w:val="24"/>
          <w:szCs w:val="24"/>
          <w:lang w:val="es-ES"/>
        </w:rPr>
      </w:pP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Los profesores que participan en el estudio destacan, como cualidades de las competencias, su vinculación con la acción, su conexión con el contexto profesional y su carácter integrador (conocimientos, habilidades, actitudes,…). Reconocen que la incorporación de las competencias a la formación universitaria puede facilitar a los estudiantes la aplicación del conocimiento teórico a la práctica y un mejor desempeño profesional en el contexto laboral. Aunque las críticas vertidas sobre las competencias durante el proceso de convergencia europea han sido numerosas y las reticencias a su incorporación manifiestas, fundamentalmente por su cercanía al pensamiento conductista y a la perspectiva técnica de la enseñanza (Lozano et al., 2012), las concepciones expuestas por los docentes en esta investigación tienden a reconocer que las competencias deben ser abordadas desde perspectivas más holísticas, menos técnicas. Esta consideración les lleva a destacar su potencial formativo en la aplicación del conocimiento a situaciones concretas y su contribución a una mejor preparación de los estudiantes para hacer frente a los desafíos de la práctica profesional, tal</w:t>
      </w:r>
      <w:r w:rsidR="008108E3">
        <w:rPr>
          <w:rFonts w:ascii="Palatino Linotype" w:eastAsia="Palatino Linotype" w:hAnsi="Palatino Linotype" w:cs="Palatino Linotype"/>
          <w:color w:val="231F20"/>
          <w:spacing w:val="-2"/>
          <w:sz w:val="20"/>
          <w:szCs w:val="20"/>
          <w:lang w:val="es-ES"/>
        </w:rPr>
        <w:t xml:space="preserve"> y</w:t>
      </w:r>
      <w:r w:rsidRPr="00BB6A23">
        <w:rPr>
          <w:rFonts w:ascii="Palatino Linotype" w:eastAsia="Palatino Linotype" w:hAnsi="Palatino Linotype" w:cs="Palatino Linotype"/>
          <w:color w:val="231F20"/>
          <w:spacing w:val="-2"/>
          <w:sz w:val="20"/>
          <w:szCs w:val="20"/>
          <w:lang w:val="es-ES"/>
        </w:rPr>
        <w:t xml:space="preserve"> como han reconocido </w:t>
      </w:r>
      <w:proofErr w:type="spellStart"/>
      <w:r w:rsidRPr="00BB6A23">
        <w:rPr>
          <w:rFonts w:ascii="Palatino Linotype" w:eastAsia="Palatino Linotype" w:hAnsi="Palatino Linotype" w:cs="Palatino Linotype"/>
          <w:color w:val="231F20"/>
          <w:spacing w:val="-2"/>
          <w:sz w:val="20"/>
          <w:szCs w:val="20"/>
          <w:lang w:val="es-ES"/>
        </w:rPr>
        <w:t>Ermenc</w:t>
      </w:r>
      <w:proofErr w:type="spellEnd"/>
      <w:r w:rsidR="00AF7EC8">
        <w:rPr>
          <w:rFonts w:ascii="Palatino Linotype" w:eastAsia="Palatino Linotype" w:hAnsi="Palatino Linotype" w:cs="Palatino Linotype"/>
          <w:color w:val="231F20"/>
          <w:spacing w:val="-2"/>
          <w:sz w:val="20"/>
          <w:szCs w:val="20"/>
          <w:lang w:val="es-ES"/>
        </w:rPr>
        <w:t xml:space="preserve"> </w:t>
      </w:r>
      <w:r w:rsidRPr="00BB6A23">
        <w:rPr>
          <w:rFonts w:ascii="Palatino Linotype" w:eastAsia="Palatino Linotype" w:hAnsi="Palatino Linotype" w:cs="Palatino Linotype"/>
          <w:color w:val="231F20"/>
          <w:spacing w:val="-2"/>
          <w:sz w:val="20"/>
          <w:szCs w:val="20"/>
          <w:lang w:val="es-ES"/>
        </w:rPr>
        <w:t>&amp;</w:t>
      </w:r>
      <w:proofErr w:type="spellStart"/>
      <w:r w:rsidRPr="00BB6A23">
        <w:rPr>
          <w:rFonts w:ascii="Palatino Linotype" w:eastAsia="Palatino Linotype" w:hAnsi="Palatino Linotype" w:cs="Palatino Linotype"/>
          <w:color w:val="231F20"/>
          <w:spacing w:val="-2"/>
          <w:sz w:val="20"/>
          <w:szCs w:val="20"/>
          <w:lang w:val="es-ES"/>
        </w:rPr>
        <w:t>Vujisic-Živkovic</w:t>
      </w:r>
      <w:proofErr w:type="spellEnd"/>
      <w:r w:rsidRPr="00BB6A23">
        <w:rPr>
          <w:rFonts w:ascii="Palatino Linotype" w:eastAsia="Palatino Linotype" w:hAnsi="Palatino Linotype" w:cs="Palatino Linotype"/>
          <w:color w:val="231F20"/>
          <w:spacing w:val="-2"/>
          <w:sz w:val="20"/>
          <w:szCs w:val="20"/>
          <w:lang w:val="es-ES"/>
        </w:rPr>
        <w:t xml:space="preserve"> (2015,105)</w:t>
      </w:r>
      <w:r w:rsidR="008108E3">
        <w:rPr>
          <w:rFonts w:ascii="Palatino Linotype" w:eastAsia="Palatino Linotype" w:hAnsi="Palatino Linotype" w:cs="Palatino Linotype"/>
          <w:color w:val="231F20"/>
          <w:spacing w:val="-2"/>
          <w:sz w:val="20"/>
          <w:szCs w:val="20"/>
          <w:lang w:val="es-ES"/>
        </w:rPr>
        <w:t>:</w:t>
      </w:r>
      <w:r w:rsidRPr="00BB6A23">
        <w:rPr>
          <w:rFonts w:ascii="Palatino Linotype" w:eastAsia="Palatino Linotype" w:hAnsi="Palatino Linotype" w:cs="Palatino Linotype"/>
          <w:color w:val="231F20"/>
          <w:spacing w:val="-2"/>
          <w:sz w:val="20"/>
          <w:szCs w:val="20"/>
          <w:lang w:val="es-ES"/>
        </w:rPr>
        <w:t xml:space="preserve">incluso los críticos más severos del concepto de competencia expresan la postura de que el enfoque de competencia -si se entiende holísticamente y se utiliza con sabiduría- podría influir positivamente en la capacidad de los estudiantes para utilizar conocimientos teóricos y habilidades de investigación cuando se enfrentan a desafíos profesionales complejos. </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Los docentes valoran positivamente, sobre todo, los cambios estructurales realizados por la institución universitaria, la apertura a nuevos entornos formativos y </w:t>
      </w:r>
      <w:proofErr w:type="spellStart"/>
      <w:r w:rsidRPr="00BB6A23">
        <w:rPr>
          <w:rFonts w:ascii="Palatino Linotype" w:eastAsia="Palatino Linotype" w:hAnsi="Palatino Linotype" w:cs="Palatino Linotype"/>
          <w:color w:val="231F20"/>
          <w:spacing w:val="-2"/>
          <w:sz w:val="20"/>
          <w:szCs w:val="20"/>
          <w:lang w:val="es-ES"/>
        </w:rPr>
        <w:t>profesionalizadores</w:t>
      </w:r>
      <w:proofErr w:type="spellEnd"/>
      <w:r w:rsidRPr="00BB6A23">
        <w:rPr>
          <w:rFonts w:ascii="Palatino Linotype" w:eastAsia="Palatino Linotype" w:hAnsi="Palatino Linotype" w:cs="Palatino Linotype"/>
          <w:color w:val="231F20"/>
          <w:spacing w:val="-2"/>
          <w:sz w:val="20"/>
          <w:szCs w:val="20"/>
          <w:lang w:val="es-ES"/>
        </w:rPr>
        <w:t xml:space="preserve"> que ofrece el enfoque por competencias, y las posibilidades de innovación y renovación que brinda, aspecto, este último, también subrayado por los expertos en Pedagogía en la investigación de </w:t>
      </w:r>
      <w:r w:rsidR="0062216D">
        <w:rPr>
          <w:rFonts w:ascii="Palatino Linotype" w:eastAsia="Palatino Linotype" w:hAnsi="Palatino Linotype" w:cs="Palatino Linotype"/>
          <w:spacing w:val="-2"/>
          <w:sz w:val="20"/>
          <w:szCs w:val="20"/>
          <w:lang w:val="es-ES"/>
        </w:rPr>
        <w:t>autores</w:t>
      </w:r>
      <w:r w:rsidR="0062216D" w:rsidRPr="00BB6A23">
        <w:rPr>
          <w:rFonts w:ascii="Palatino Linotype" w:eastAsia="Palatino Linotype" w:hAnsi="Palatino Linotype" w:cs="Palatino Linotype"/>
          <w:color w:val="231F20"/>
          <w:spacing w:val="-2"/>
          <w:sz w:val="20"/>
          <w:szCs w:val="20"/>
          <w:lang w:val="es-ES"/>
        </w:rPr>
        <w:t xml:space="preserve"> </w:t>
      </w:r>
      <w:r w:rsidR="00405C5D" w:rsidRPr="00BB6A23">
        <w:rPr>
          <w:rFonts w:ascii="Palatino Linotype" w:eastAsia="Palatino Linotype" w:hAnsi="Palatino Linotype" w:cs="Palatino Linotype"/>
          <w:color w:val="231F20"/>
          <w:spacing w:val="-2"/>
          <w:sz w:val="20"/>
          <w:szCs w:val="20"/>
          <w:lang w:val="es-ES"/>
        </w:rPr>
        <w:t>(</w:t>
      </w:r>
      <w:r w:rsidRPr="00BB6A23">
        <w:rPr>
          <w:rFonts w:ascii="Palatino Linotype" w:eastAsia="Palatino Linotype" w:hAnsi="Palatino Linotype" w:cs="Palatino Linotype"/>
          <w:color w:val="231F20"/>
          <w:spacing w:val="-2"/>
          <w:sz w:val="20"/>
          <w:szCs w:val="20"/>
          <w:lang w:val="es-ES"/>
        </w:rPr>
        <w:t>). Sin embargo, el profesorado del estudio se muestra dividido respecto al carácter prescriptivo e impositivo conferido a las competencias en los planes</w:t>
      </w:r>
      <w:r w:rsidR="0028172D">
        <w:rPr>
          <w:rFonts w:ascii="Palatino Linotype" w:eastAsia="Palatino Linotype" w:hAnsi="Palatino Linotype" w:cs="Palatino Linotype"/>
          <w:color w:val="231F20"/>
          <w:spacing w:val="-2"/>
          <w:sz w:val="20"/>
          <w:szCs w:val="20"/>
          <w:lang w:val="es-ES"/>
        </w:rPr>
        <w:t xml:space="preserve"> de estudios</w:t>
      </w:r>
      <w:r w:rsidRPr="00BB6A23">
        <w:rPr>
          <w:rFonts w:ascii="Palatino Linotype" w:eastAsia="Palatino Linotype" w:hAnsi="Palatino Linotype" w:cs="Palatino Linotype"/>
          <w:color w:val="231F20"/>
          <w:spacing w:val="-2"/>
          <w:sz w:val="20"/>
          <w:szCs w:val="20"/>
          <w:lang w:val="es-ES"/>
        </w:rPr>
        <w:t xml:space="preserve"> y en las guías docentes. Algunos profesores creen que clarifican las directrices a seguir para enfocar la acción docente y favorecen la rendición de cuentas, por lo que lo valoran positivamente. Para otros, en cambio, supone un serio revés que coarta la creatividad docente y dificulta las posibilidades de innovación y mejora. Los que comparten esta última posición son partidarios de que las competencias tengan un carácter más orientativo que prescriptivo y piensan que su concreción debería haber sido resultado de procesos de </w:t>
      </w:r>
      <w:r w:rsidRPr="00BB6A23">
        <w:rPr>
          <w:rFonts w:ascii="Palatino Linotype" w:eastAsia="Palatino Linotype" w:hAnsi="Palatino Linotype" w:cs="Palatino Linotype"/>
          <w:color w:val="231F20"/>
          <w:spacing w:val="-2"/>
          <w:sz w:val="20"/>
          <w:szCs w:val="20"/>
          <w:lang w:val="es-ES"/>
        </w:rPr>
        <w:lastRenderedPageBreak/>
        <w:t xml:space="preserve">negociación y deliberación </w:t>
      </w:r>
      <w:r w:rsidR="0028172D">
        <w:rPr>
          <w:rFonts w:ascii="Palatino Linotype" w:eastAsia="Palatino Linotype" w:hAnsi="Palatino Linotype" w:cs="Palatino Linotype"/>
          <w:color w:val="231F20"/>
          <w:spacing w:val="-2"/>
          <w:sz w:val="20"/>
          <w:szCs w:val="20"/>
          <w:lang w:val="es-ES"/>
        </w:rPr>
        <w:t>más participativos</w:t>
      </w:r>
      <w:r w:rsidRPr="00BB6A23">
        <w:rPr>
          <w:rFonts w:ascii="Palatino Linotype" w:eastAsia="Palatino Linotype" w:hAnsi="Palatino Linotype" w:cs="Palatino Linotype"/>
          <w:color w:val="231F20"/>
          <w:spacing w:val="-2"/>
          <w:sz w:val="20"/>
          <w:szCs w:val="20"/>
          <w:lang w:val="es-ES"/>
        </w:rPr>
        <w:t xml:space="preserve">. Coinciden así con las tesis formuladas por </w:t>
      </w:r>
      <w:proofErr w:type="spellStart"/>
      <w:r w:rsidRPr="00BB6A23">
        <w:rPr>
          <w:rFonts w:ascii="Palatino Linotype" w:eastAsia="Palatino Linotype" w:hAnsi="Palatino Linotype" w:cs="Palatino Linotype"/>
          <w:color w:val="231F20"/>
          <w:spacing w:val="-2"/>
          <w:sz w:val="20"/>
          <w:szCs w:val="20"/>
          <w:lang w:val="es-ES"/>
        </w:rPr>
        <w:t>Tran</w:t>
      </w:r>
      <w:proofErr w:type="spellEnd"/>
      <w:r w:rsidRPr="00BB6A23">
        <w:rPr>
          <w:rFonts w:ascii="Palatino Linotype" w:eastAsia="Palatino Linotype" w:hAnsi="Palatino Linotype" w:cs="Palatino Linotype"/>
          <w:color w:val="231F20"/>
          <w:spacing w:val="-2"/>
          <w:sz w:val="20"/>
          <w:szCs w:val="20"/>
          <w:lang w:val="es-ES"/>
        </w:rPr>
        <w:t xml:space="preserve"> (2013) cuando afirma que los planes de estudios cerrados y sujetos a un alto grado de control dificultan el desarrollo competencial del alumnado y su transición al mundo laboral.</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En relación a los motivos expuestos para rechazar el enfoque por competencias destacan, especialmente: la falta de apoyos y recursos; la homogeneización que promueve al fijar las mismas competencias para todo el alumnado y la devaluación de los contenidos (saberes). La oposición entre saberes y competencia ha sido ampliamente debatida durante la creación del EEES, sin embargo </w:t>
      </w:r>
      <w:proofErr w:type="spellStart"/>
      <w:r w:rsidRPr="00BB6A23">
        <w:rPr>
          <w:rFonts w:ascii="Palatino Linotype" w:eastAsia="Palatino Linotype" w:hAnsi="Palatino Linotype" w:cs="Palatino Linotype"/>
          <w:color w:val="231F20"/>
          <w:spacing w:val="-2"/>
          <w:sz w:val="20"/>
          <w:szCs w:val="20"/>
          <w:lang w:val="es-ES"/>
        </w:rPr>
        <w:t>Perrenoud</w:t>
      </w:r>
      <w:proofErr w:type="spellEnd"/>
      <w:r w:rsidRPr="00BB6A23">
        <w:rPr>
          <w:rFonts w:ascii="Palatino Linotype" w:eastAsia="Palatino Linotype" w:hAnsi="Palatino Linotype" w:cs="Palatino Linotype"/>
          <w:color w:val="231F20"/>
          <w:spacing w:val="-2"/>
          <w:sz w:val="20"/>
          <w:szCs w:val="20"/>
          <w:lang w:val="es-ES"/>
        </w:rPr>
        <w:t xml:space="preserve"> (2008) la considera injustificada, pues no hay competencias sin saberes. En su opinión, el enfoque por competencias, lejos de dar la espalda a los saberes, les confiere una fuerza nueva, un valor añadido, al vincularlos a las prácticas sociales y a las situaciones complejas de la vida. Entiende, no obstante, que esta postura de enfrentamiento está fundamentada porque no es posible desarrollar competencias sin cuestionar la organización de los saberes en disciplinas compartimentadas y reducir el tiempo asignado a la asimilación de saberes. Esta necesidad de trascender la lógica disciplinar y academicista, tan arraigada en la institución universitaria, para favorecer el aprendizaje por competencias del alumnado ha sido recientemente señalada, entre otros, por</w:t>
      </w:r>
      <w:r w:rsidR="007A54F1" w:rsidRPr="007A54F1">
        <w:rPr>
          <w:lang w:val="es-ES"/>
        </w:rPr>
        <w:t xml:space="preserve"> </w:t>
      </w:r>
      <w:r w:rsidR="0062216D">
        <w:rPr>
          <w:rFonts w:ascii="Palatino Linotype" w:eastAsia="Palatino Linotype" w:hAnsi="Palatino Linotype" w:cs="Palatino Linotype"/>
          <w:spacing w:val="-2"/>
          <w:sz w:val="20"/>
          <w:szCs w:val="20"/>
          <w:lang w:val="es-ES"/>
        </w:rPr>
        <w:t>autores</w:t>
      </w:r>
      <w:r w:rsidR="0062216D" w:rsidRPr="007A54F1">
        <w:rPr>
          <w:rFonts w:ascii="Palatino Linotype" w:eastAsia="Palatino Linotype" w:hAnsi="Palatino Linotype" w:cs="Palatino Linotype"/>
          <w:color w:val="231F20"/>
          <w:spacing w:val="-2"/>
          <w:sz w:val="20"/>
          <w:szCs w:val="20"/>
          <w:lang w:val="es-ES"/>
        </w:rPr>
        <w:t xml:space="preserve"> </w:t>
      </w:r>
      <w:r w:rsidR="007A54F1" w:rsidRPr="007A54F1">
        <w:rPr>
          <w:rFonts w:ascii="Palatino Linotype" w:eastAsia="Palatino Linotype" w:hAnsi="Palatino Linotype" w:cs="Palatino Linotype"/>
          <w:color w:val="231F20"/>
          <w:spacing w:val="-2"/>
          <w:sz w:val="20"/>
          <w:szCs w:val="20"/>
          <w:lang w:val="es-ES"/>
        </w:rPr>
        <w:t>().</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Las competencias que más interesan a los docentes han sido las transversales, ya que consideran que en su incorporación al currículum y su desarrollo está el verdadero reto. Las competencias más señaladas han sido tanto interpersonales, como sistémicas e instrumentales. Específicamente son: trabajo en equipo, aplicación de la teoría a la práctica y expresión oral-escrita y habilidades comunicativas. Todas ellas altamente valoradas en el mundo laboral (Freire y otros, 2011). Las competencias menos aludidas por los docentes en la investigación han sido el compromiso social y el dominio de una lengua extranjera, a pesar de la relevancia otorgada a estos aspectos en los trabajos de </w:t>
      </w:r>
      <w:r w:rsidR="0062216D">
        <w:rPr>
          <w:rFonts w:ascii="Palatino Linotype" w:eastAsia="Palatino Linotype" w:hAnsi="Palatino Linotype" w:cs="Palatino Linotype"/>
          <w:spacing w:val="-2"/>
          <w:sz w:val="20"/>
          <w:szCs w:val="20"/>
          <w:lang w:val="es-ES"/>
        </w:rPr>
        <w:t>autores</w:t>
      </w:r>
      <w:r w:rsidR="0062216D" w:rsidRPr="007A54F1">
        <w:rPr>
          <w:rFonts w:ascii="Palatino Linotype" w:eastAsia="Palatino Linotype" w:hAnsi="Palatino Linotype" w:cs="Palatino Linotype"/>
          <w:color w:val="231F20"/>
          <w:spacing w:val="-2"/>
          <w:sz w:val="20"/>
          <w:szCs w:val="20"/>
          <w:lang w:val="es-ES"/>
        </w:rPr>
        <w:t xml:space="preserve"> </w:t>
      </w:r>
      <w:r w:rsidR="007A54F1" w:rsidRPr="007A54F1">
        <w:rPr>
          <w:rFonts w:ascii="Palatino Linotype" w:eastAsia="Palatino Linotype" w:hAnsi="Palatino Linotype" w:cs="Palatino Linotype"/>
          <w:color w:val="231F20"/>
          <w:spacing w:val="-2"/>
          <w:sz w:val="20"/>
          <w:szCs w:val="20"/>
          <w:lang w:val="es-ES"/>
        </w:rPr>
        <w:t>().</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En general, aunque los docentes consideran que se está progresando en el desarrollo de </w:t>
      </w:r>
      <w:r w:rsidR="004522CD">
        <w:rPr>
          <w:rFonts w:ascii="Palatino Linotype" w:eastAsia="Palatino Linotype" w:hAnsi="Palatino Linotype" w:cs="Palatino Linotype"/>
          <w:color w:val="231F20"/>
          <w:spacing w:val="-2"/>
          <w:sz w:val="20"/>
          <w:szCs w:val="20"/>
          <w:lang w:val="es-ES"/>
        </w:rPr>
        <w:t xml:space="preserve">las </w:t>
      </w:r>
      <w:r w:rsidRPr="00BB6A23">
        <w:rPr>
          <w:rFonts w:ascii="Palatino Linotype" w:eastAsia="Palatino Linotype" w:hAnsi="Palatino Linotype" w:cs="Palatino Linotype"/>
          <w:color w:val="231F20"/>
          <w:spacing w:val="-2"/>
          <w:sz w:val="20"/>
          <w:szCs w:val="20"/>
          <w:lang w:val="es-ES"/>
        </w:rPr>
        <w:t>competencias</w:t>
      </w:r>
      <w:r w:rsidR="004522CD">
        <w:rPr>
          <w:rFonts w:ascii="Palatino Linotype" w:eastAsia="Palatino Linotype" w:hAnsi="Palatino Linotype" w:cs="Palatino Linotype"/>
          <w:color w:val="231F20"/>
          <w:spacing w:val="-2"/>
          <w:sz w:val="20"/>
          <w:szCs w:val="20"/>
          <w:lang w:val="es-ES"/>
        </w:rPr>
        <w:t xml:space="preserve"> transversales</w:t>
      </w:r>
      <w:r w:rsidRPr="00BB6A23">
        <w:rPr>
          <w:rFonts w:ascii="Palatino Linotype" w:eastAsia="Palatino Linotype" w:hAnsi="Palatino Linotype" w:cs="Palatino Linotype"/>
          <w:color w:val="231F20"/>
          <w:spacing w:val="-2"/>
          <w:sz w:val="20"/>
          <w:szCs w:val="20"/>
          <w:lang w:val="es-ES"/>
        </w:rPr>
        <w:t xml:space="preserve"> en el ámbito universitario, de sus intervenciones se deduce que no tienen claro cómo incorporarlas al currículum e integr</w:t>
      </w:r>
      <w:r w:rsidR="004522CD">
        <w:rPr>
          <w:rFonts w:ascii="Palatino Linotype" w:eastAsia="Palatino Linotype" w:hAnsi="Palatino Linotype" w:cs="Palatino Linotype"/>
          <w:color w:val="231F20"/>
          <w:spacing w:val="-2"/>
          <w:sz w:val="20"/>
          <w:szCs w:val="20"/>
          <w:lang w:val="es-ES"/>
        </w:rPr>
        <w:t>arlas en la práctica formativa y</w:t>
      </w:r>
      <w:r w:rsidRPr="00BB6A23">
        <w:rPr>
          <w:rFonts w:ascii="Palatino Linotype" w:eastAsia="Palatino Linotype" w:hAnsi="Palatino Linotype" w:cs="Palatino Linotype"/>
          <w:color w:val="231F20"/>
          <w:spacing w:val="-2"/>
          <w:sz w:val="20"/>
          <w:szCs w:val="20"/>
          <w:lang w:val="es-ES"/>
        </w:rPr>
        <w:t xml:space="preserve"> reconocen abiertamente la frustración y dilemas que ello les plantea. Se ratifican así los hallazgos ya expresados por V</w:t>
      </w:r>
      <w:r w:rsidR="00BD6151">
        <w:rPr>
          <w:rFonts w:ascii="Palatino Linotype" w:eastAsia="Palatino Linotype" w:hAnsi="Palatino Linotype" w:cs="Palatino Linotype"/>
          <w:color w:val="231F20"/>
          <w:spacing w:val="-2"/>
          <w:sz w:val="20"/>
          <w:szCs w:val="20"/>
          <w:lang w:val="es-ES"/>
        </w:rPr>
        <w:t>il</w:t>
      </w:r>
      <w:r w:rsidRPr="00BB6A23">
        <w:rPr>
          <w:rFonts w:ascii="Palatino Linotype" w:eastAsia="Palatino Linotype" w:hAnsi="Palatino Linotype" w:cs="Palatino Linotype"/>
          <w:color w:val="231F20"/>
          <w:spacing w:val="-2"/>
          <w:sz w:val="20"/>
          <w:szCs w:val="20"/>
          <w:lang w:val="es-ES"/>
        </w:rPr>
        <w:t>la</w:t>
      </w:r>
      <w:r w:rsidR="00D844B3">
        <w:rPr>
          <w:rFonts w:ascii="Palatino Linotype" w:eastAsia="Palatino Linotype" w:hAnsi="Palatino Linotype" w:cs="Palatino Linotype"/>
          <w:color w:val="231F20"/>
          <w:spacing w:val="-2"/>
          <w:sz w:val="20"/>
          <w:szCs w:val="20"/>
          <w:lang w:val="es-ES"/>
        </w:rPr>
        <w:t>r</w:t>
      </w:r>
      <w:r w:rsidRPr="00BB6A23">
        <w:rPr>
          <w:rFonts w:ascii="Palatino Linotype" w:eastAsia="Palatino Linotype" w:hAnsi="Palatino Linotype" w:cs="Palatino Linotype"/>
          <w:color w:val="231F20"/>
          <w:spacing w:val="-2"/>
          <w:sz w:val="20"/>
          <w:szCs w:val="20"/>
          <w:lang w:val="es-ES"/>
        </w:rPr>
        <w:t>roel</w:t>
      </w:r>
      <w:r w:rsidR="00AF7EC8">
        <w:rPr>
          <w:rFonts w:ascii="Palatino Linotype" w:eastAsia="Palatino Linotype" w:hAnsi="Palatino Linotype" w:cs="Palatino Linotype"/>
          <w:color w:val="231F20"/>
          <w:spacing w:val="-2"/>
          <w:sz w:val="20"/>
          <w:szCs w:val="20"/>
          <w:lang w:val="es-ES"/>
        </w:rPr>
        <w:t xml:space="preserve"> </w:t>
      </w:r>
      <w:r w:rsidR="00560AF9">
        <w:rPr>
          <w:rFonts w:ascii="Palatino Linotype" w:eastAsia="Palatino Linotype" w:hAnsi="Palatino Linotype" w:cs="Palatino Linotype"/>
          <w:color w:val="231F20"/>
          <w:spacing w:val="-2"/>
          <w:sz w:val="20"/>
          <w:szCs w:val="20"/>
          <w:lang w:val="es-ES"/>
        </w:rPr>
        <w:t>&amp;</w:t>
      </w:r>
      <w:r w:rsidRPr="00BB6A23">
        <w:rPr>
          <w:rFonts w:ascii="Palatino Linotype" w:eastAsia="Palatino Linotype" w:hAnsi="Palatino Linotype" w:cs="Palatino Linotype"/>
          <w:color w:val="231F20"/>
          <w:spacing w:val="-2"/>
          <w:sz w:val="20"/>
          <w:szCs w:val="20"/>
          <w:lang w:val="es-ES"/>
        </w:rPr>
        <w:t xml:space="preserve"> Bruna (2014) que subrayan el desafío y reticencias que suscita, entre el profesorado universitario, la incorporación de estas competencias al currículum académico. En opinión de estas autoras, la incorporación de </w:t>
      </w:r>
      <w:r w:rsidR="004522CD">
        <w:rPr>
          <w:rFonts w:ascii="Palatino Linotype" w:eastAsia="Palatino Linotype" w:hAnsi="Palatino Linotype" w:cs="Palatino Linotype"/>
          <w:color w:val="231F20"/>
          <w:spacing w:val="-2"/>
          <w:sz w:val="20"/>
          <w:szCs w:val="20"/>
          <w:lang w:val="es-ES"/>
        </w:rPr>
        <w:t>estas</w:t>
      </w:r>
      <w:r w:rsidRPr="00BB6A23">
        <w:rPr>
          <w:rFonts w:ascii="Palatino Linotype" w:eastAsia="Palatino Linotype" w:hAnsi="Palatino Linotype" w:cs="Palatino Linotype"/>
          <w:color w:val="231F20"/>
          <w:spacing w:val="-2"/>
          <w:sz w:val="20"/>
          <w:szCs w:val="20"/>
          <w:lang w:val="es-ES"/>
        </w:rPr>
        <w:t xml:space="preserve"> competencias </w:t>
      </w:r>
      <w:r w:rsidR="004522CD">
        <w:rPr>
          <w:rFonts w:ascii="Palatino Linotype" w:eastAsia="Palatino Linotype" w:hAnsi="Palatino Linotype" w:cs="Palatino Linotype"/>
          <w:color w:val="231F20"/>
          <w:spacing w:val="-2"/>
          <w:sz w:val="20"/>
          <w:szCs w:val="20"/>
          <w:lang w:val="es-ES"/>
        </w:rPr>
        <w:t>a la</w:t>
      </w:r>
      <w:r w:rsidRPr="00BB6A23">
        <w:rPr>
          <w:rFonts w:ascii="Palatino Linotype" w:eastAsia="Palatino Linotype" w:hAnsi="Palatino Linotype" w:cs="Palatino Linotype"/>
          <w:color w:val="231F20"/>
          <w:spacing w:val="-2"/>
          <w:sz w:val="20"/>
          <w:szCs w:val="20"/>
          <w:lang w:val="es-ES"/>
        </w:rPr>
        <w:t xml:space="preserve"> educación superior requiere que los docentes se actualicen en metodologías de enseñanza y evaluación, incorporen actividades prácticas donde observen el despliegue de las competencias esperadas en la asignatura, cuenten con mayor tiempo de preparación de clases, construyan evaluaciones auténticas y proporcionen retroalimentación permanente a los estudiantes. Esto implica mayor inversión y recursos por parte de las instituciones educativas (V</w:t>
      </w:r>
      <w:r w:rsidR="00D844B3">
        <w:rPr>
          <w:rFonts w:ascii="Palatino Linotype" w:eastAsia="Palatino Linotype" w:hAnsi="Palatino Linotype" w:cs="Palatino Linotype"/>
          <w:color w:val="231F20"/>
          <w:spacing w:val="-2"/>
          <w:sz w:val="20"/>
          <w:szCs w:val="20"/>
          <w:lang w:val="es-ES"/>
        </w:rPr>
        <w:t>illarroel</w:t>
      </w:r>
      <w:r w:rsidR="00AF7EC8">
        <w:rPr>
          <w:rFonts w:ascii="Palatino Linotype" w:eastAsia="Palatino Linotype" w:hAnsi="Palatino Linotype" w:cs="Palatino Linotype"/>
          <w:color w:val="231F20"/>
          <w:spacing w:val="-2"/>
          <w:sz w:val="20"/>
          <w:szCs w:val="20"/>
          <w:lang w:val="es-ES"/>
        </w:rPr>
        <w:t xml:space="preserve"> </w:t>
      </w:r>
      <w:r w:rsidR="00560AF9">
        <w:rPr>
          <w:rFonts w:ascii="Palatino Linotype" w:eastAsia="Palatino Linotype" w:hAnsi="Palatino Linotype" w:cs="Palatino Linotype"/>
          <w:color w:val="231F20"/>
          <w:spacing w:val="-2"/>
          <w:sz w:val="20"/>
          <w:szCs w:val="20"/>
          <w:lang w:val="es-ES"/>
        </w:rPr>
        <w:t>&amp;</w:t>
      </w:r>
      <w:r w:rsidRPr="00BB6A23">
        <w:rPr>
          <w:rFonts w:ascii="Palatino Linotype" w:eastAsia="Palatino Linotype" w:hAnsi="Palatino Linotype" w:cs="Palatino Linotype"/>
          <w:color w:val="231F20"/>
          <w:spacing w:val="-2"/>
          <w:sz w:val="20"/>
          <w:szCs w:val="20"/>
          <w:lang w:val="es-ES"/>
        </w:rPr>
        <w:t xml:space="preserve"> Bruna, 2014). </w:t>
      </w:r>
      <w:r w:rsidR="004522CD">
        <w:rPr>
          <w:rFonts w:ascii="Palatino Linotype" w:eastAsia="Palatino Linotype" w:hAnsi="Palatino Linotype" w:cs="Palatino Linotype"/>
          <w:color w:val="231F20"/>
          <w:spacing w:val="-2"/>
          <w:sz w:val="20"/>
          <w:szCs w:val="20"/>
          <w:lang w:val="es-ES"/>
        </w:rPr>
        <w:t xml:space="preserve">Esta es </w:t>
      </w:r>
      <w:r w:rsidR="004522CD" w:rsidRPr="00BB6A23">
        <w:rPr>
          <w:rFonts w:ascii="Palatino Linotype" w:eastAsia="Palatino Linotype" w:hAnsi="Palatino Linotype" w:cs="Palatino Linotype"/>
          <w:color w:val="231F20"/>
          <w:spacing w:val="-2"/>
          <w:sz w:val="20"/>
          <w:szCs w:val="20"/>
          <w:lang w:val="es-ES"/>
        </w:rPr>
        <w:t>una reivindicación constate del profesorado de este estudio</w:t>
      </w:r>
      <w:r w:rsidR="00AC5EF4">
        <w:rPr>
          <w:rFonts w:ascii="Palatino Linotype" w:eastAsia="Palatino Linotype" w:hAnsi="Palatino Linotype" w:cs="Palatino Linotype"/>
          <w:color w:val="231F20"/>
          <w:spacing w:val="-2"/>
          <w:sz w:val="20"/>
          <w:szCs w:val="20"/>
          <w:lang w:val="es-ES"/>
        </w:rPr>
        <w:t xml:space="preserve"> que no sólo denuncia la </w:t>
      </w:r>
      <w:r w:rsidRPr="00BB6A23">
        <w:rPr>
          <w:rFonts w:ascii="Palatino Linotype" w:eastAsia="Palatino Linotype" w:hAnsi="Palatino Linotype" w:cs="Palatino Linotype"/>
          <w:color w:val="231F20"/>
          <w:spacing w:val="-2"/>
          <w:sz w:val="20"/>
          <w:szCs w:val="20"/>
          <w:lang w:val="es-ES"/>
        </w:rPr>
        <w:t xml:space="preserve">falta de recursos, apoyos y reconocimiento </w:t>
      </w:r>
      <w:r w:rsidR="00AC5EF4">
        <w:rPr>
          <w:rFonts w:ascii="Palatino Linotype" w:eastAsia="Palatino Linotype" w:hAnsi="Palatino Linotype" w:cs="Palatino Linotype"/>
          <w:color w:val="231F20"/>
          <w:spacing w:val="-2"/>
          <w:sz w:val="20"/>
          <w:szCs w:val="20"/>
          <w:lang w:val="es-ES"/>
        </w:rPr>
        <w:t>por parte de las universidades, sino que los c</w:t>
      </w:r>
      <w:r w:rsidRPr="00BB6A23">
        <w:rPr>
          <w:rFonts w:ascii="Palatino Linotype" w:eastAsia="Palatino Linotype" w:hAnsi="Palatino Linotype" w:cs="Palatino Linotype"/>
          <w:color w:val="231F20"/>
          <w:spacing w:val="-2"/>
          <w:sz w:val="20"/>
          <w:szCs w:val="20"/>
          <w:lang w:val="es-ES"/>
        </w:rPr>
        <w:t xml:space="preserve">onsiderada uno de los </w:t>
      </w:r>
      <w:r w:rsidR="00AC5EF4">
        <w:rPr>
          <w:rFonts w:ascii="Palatino Linotype" w:eastAsia="Palatino Linotype" w:hAnsi="Palatino Linotype" w:cs="Palatino Linotype"/>
          <w:color w:val="231F20"/>
          <w:spacing w:val="-2"/>
          <w:sz w:val="20"/>
          <w:szCs w:val="20"/>
          <w:lang w:val="es-ES"/>
        </w:rPr>
        <w:lastRenderedPageBreak/>
        <w:t xml:space="preserve">mayores </w:t>
      </w:r>
      <w:r w:rsidRPr="00BB6A23">
        <w:rPr>
          <w:rFonts w:ascii="Palatino Linotype" w:eastAsia="Palatino Linotype" w:hAnsi="Palatino Linotype" w:cs="Palatino Linotype"/>
          <w:color w:val="231F20"/>
          <w:spacing w:val="-2"/>
          <w:sz w:val="20"/>
          <w:szCs w:val="20"/>
          <w:lang w:val="es-ES"/>
        </w:rPr>
        <w:t xml:space="preserve">obstáculos para la incorporación </w:t>
      </w:r>
      <w:r w:rsidR="00AC5EF4" w:rsidRPr="00BB6A23">
        <w:rPr>
          <w:rFonts w:ascii="Palatino Linotype" w:eastAsia="Palatino Linotype" w:hAnsi="Palatino Linotype" w:cs="Palatino Linotype"/>
          <w:color w:val="231F20"/>
          <w:spacing w:val="-2"/>
          <w:sz w:val="20"/>
          <w:szCs w:val="20"/>
          <w:lang w:val="es-ES"/>
        </w:rPr>
        <w:t xml:space="preserve">exitosa </w:t>
      </w:r>
      <w:r w:rsidRPr="00BB6A23">
        <w:rPr>
          <w:rFonts w:ascii="Palatino Linotype" w:eastAsia="Palatino Linotype" w:hAnsi="Palatino Linotype" w:cs="Palatino Linotype"/>
          <w:color w:val="231F20"/>
          <w:spacing w:val="-2"/>
          <w:sz w:val="20"/>
          <w:szCs w:val="20"/>
          <w:lang w:val="es-ES"/>
        </w:rPr>
        <w:t>del enfoque por competencias. Así lo han subrayado también los miembros de las comisiones de garantía de la calidad de distint</w:t>
      </w:r>
      <w:r w:rsidR="00F14868">
        <w:rPr>
          <w:rFonts w:ascii="Palatino Linotype" w:eastAsia="Palatino Linotype" w:hAnsi="Palatino Linotype" w:cs="Palatino Linotype"/>
          <w:color w:val="231F20"/>
          <w:spacing w:val="-2"/>
          <w:sz w:val="20"/>
          <w:szCs w:val="20"/>
          <w:lang w:val="es-ES"/>
        </w:rPr>
        <w:t>as titulaciones</w:t>
      </w:r>
      <w:r w:rsidRPr="00BB6A23">
        <w:rPr>
          <w:rFonts w:ascii="Palatino Linotype" w:eastAsia="Palatino Linotype" w:hAnsi="Palatino Linotype" w:cs="Palatino Linotype"/>
          <w:color w:val="231F20"/>
          <w:spacing w:val="-2"/>
          <w:sz w:val="20"/>
          <w:szCs w:val="20"/>
          <w:lang w:val="es-ES"/>
        </w:rPr>
        <w:t xml:space="preserve"> en el trabajo </w:t>
      </w:r>
      <w:r w:rsidR="00F14868">
        <w:rPr>
          <w:rFonts w:ascii="Palatino Linotype" w:eastAsia="Palatino Linotype" w:hAnsi="Palatino Linotype" w:cs="Palatino Linotype"/>
          <w:color w:val="231F20"/>
          <w:spacing w:val="-2"/>
          <w:sz w:val="20"/>
          <w:szCs w:val="20"/>
          <w:lang w:val="es-ES"/>
        </w:rPr>
        <w:t>de</w:t>
      </w:r>
      <w:r w:rsidRPr="00BB6A23">
        <w:rPr>
          <w:rFonts w:ascii="Palatino Linotype" w:eastAsia="Palatino Linotype" w:hAnsi="Palatino Linotype" w:cs="Palatino Linotype"/>
          <w:color w:val="231F20"/>
          <w:spacing w:val="-2"/>
          <w:sz w:val="20"/>
          <w:szCs w:val="20"/>
          <w:lang w:val="es-ES"/>
        </w:rPr>
        <w:t xml:space="preserve"> Pozo y Bretones (2015). En este estudio se demanda, a los responsables institucionales y gestores educativos: mejorar la dotación de medios y recursos, establecer sistemas de reconocimiento adecuados, optimizar la coordinación de las acciones, potenciar la colaboración y prestar mayor atención a la formación del personal directamente implicado. Lo más decepcionante de este tipo de reivindicaciones es que no sólo no han recibido aún una respuesta satisfactoria por parte de la actual política educativa universitaria, sino que parece poco probable que la reciban debido a los constantes recortes presupuestarios a que se ve sometida la educación universitaria. Esta lamentable situación ha llevado, como señalan los docentes de</w:t>
      </w:r>
      <w:r w:rsidR="00F14868">
        <w:rPr>
          <w:rFonts w:ascii="Palatino Linotype" w:eastAsia="Palatino Linotype" w:hAnsi="Palatino Linotype" w:cs="Palatino Linotype"/>
          <w:color w:val="231F20"/>
          <w:spacing w:val="-2"/>
          <w:sz w:val="20"/>
          <w:szCs w:val="20"/>
          <w:lang w:val="es-ES"/>
        </w:rPr>
        <w:t>l</w:t>
      </w:r>
      <w:r w:rsidRPr="00BB6A23">
        <w:rPr>
          <w:rFonts w:ascii="Palatino Linotype" w:eastAsia="Palatino Linotype" w:hAnsi="Palatino Linotype" w:cs="Palatino Linotype"/>
          <w:color w:val="231F20"/>
          <w:spacing w:val="-2"/>
          <w:sz w:val="20"/>
          <w:szCs w:val="20"/>
          <w:lang w:val="es-ES"/>
        </w:rPr>
        <w:t xml:space="preserve"> estudio, a confiar el éxito del enfoque por competencias a la buena voluntad del profesorado.</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Junto a estas consideraciones, el profesorado que ha participado en la investigación subraya un segundo escollo para el desarrollo de las competencias transversales: la brecha existente entre el mundo académico y laboral. Esta escisión, en opinión de </w:t>
      </w:r>
      <w:proofErr w:type="spellStart"/>
      <w:r w:rsidRPr="00BB6A23">
        <w:rPr>
          <w:rFonts w:ascii="Palatino Linotype" w:eastAsia="Palatino Linotype" w:hAnsi="Palatino Linotype" w:cs="Palatino Linotype"/>
          <w:color w:val="231F20"/>
          <w:spacing w:val="-2"/>
          <w:sz w:val="20"/>
          <w:szCs w:val="20"/>
          <w:lang w:val="es-ES"/>
        </w:rPr>
        <w:t>Perrenound</w:t>
      </w:r>
      <w:proofErr w:type="spellEnd"/>
      <w:r w:rsidRPr="00BB6A23">
        <w:rPr>
          <w:rFonts w:ascii="Palatino Linotype" w:eastAsia="Palatino Linotype" w:hAnsi="Palatino Linotype" w:cs="Palatino Linotype"/>
          <w:color w:val="231F20"/>
          <w:spacing w:val="-2"/>
          <w:sz w:val="20"/>
          <w:szCs w:val="20"/>
          <w:lang w:val="es-ES"/>
        </w:rPr>
        <w:t xml:space="preserve"> (2008, 59), es fruto de una división del trabajo que reposa sobre una ficción, por eso invita a la institución educativa y a los educadores a impulsar una visión más global de los aprendizajes que enfatice su utilidad y aplicación en la vida misma. Aunque, como han reconocido </w:t>
      </w:r>
      <w:r w:rsidR="0062216D">
        <w:rPr>
          <w:rFonts w:ascii="Palatino Linotype" w:eastAsia="Palatino Linotype" w:hAnsi="Palatino Linotype" w:cs="Palatino Linotype"/>
          <w:spacing w:val="-2"/>
          <w:sz w:val="20"/>
          <w:szCs w:val="20"/>
          <w:lang w:val="es-ES"/>
        </w:rPr>
        <w:t>autores</w:t>
      </w:r>
      <w:r w:rsidR="0062216D" w:rsidRPr="00461200">
        <w:rPr>
          <w:rFonts w:ascii="Palatino Linotype" w:eastAsia="Palatino Linotype" w:hAnsi="Palatino Linotype" w:cs="Palatino Linotype"/>
          <w:color w:val="231F20"/>
          <w:spacing w:val="-2"/>
          <w:sz w:val="20"/>
          <w:szCs w:val="20"/>
          <w:lang w:val="es-ES"/>
        </w:rPr>
        <w:t xml:space="preserve"> </w:t>
      </w:r>
      <w:r w:rsidR="00461200">
        <w:rPr>
          <w:rFonts w:ascii="Palatino Linotype" w:eastAsia="Palatino Linotype" w:hAnsi="Palatino Linotype" w:cs="Palatino Linotype"/>
          <w:color w:val="231F20"/>
          <w:spacing w:val="-2"/>
          <w:sz w:val="20"/>
          <w:szCs w:val="20"/>
          <w:lang w:val="es-ES"/>
        </w:rPr>
        <w:t xml:space="preserve">() </w:t>
      </w:r>
      <w:r w:rsidRPr="00BB6A23">
        <w:rPr>
          <w:rFonts w:ascii="Palatino Linotype" w:eastAsia="Palatino Linotype" w:hAnsi="Palatino Linotype" w:cs="Palatino Linotype"/>
          <w:color w:val="231F20"/>
          <w:spacing w:val="-2"/>
          <w:sz w:val="20"/>
          <w:szCs w:val="20"/>
          <w:lang w:val="es-ES"/>
        </w:rPr>
        <w:t xml:space="preserve">el Proceso de Convergencia está sirviendo de detonante para estrechar lazos entre estos dos ámbitos, </w:t>
      </w:r>
      <w:r w:rsidR="002D27C8">
        <w:rPr>
          <w:rFonts w:ascii="Palatino Linotype" w:eastAsia="Palatino Linotype" w:hAnsi="Palatino Linotype" w:cs="Palatino Linotype"/>
          <w:color w:val="231F20"/>
          <w:spacing w:val="-2"/>
          <w:sz w:val="20"/>
          <w:szCs w:val="20"/>
          <w:lang w:val="es-ES"/>
        </w:rPr>
        <w:t xml:space="preserve">aunque </w:t>
      </w:r>
      <w:r w:rsidRPr="00BB6A23">
        <w:rPr>
          <w:rFonts w:ascii="Palatino Linotype" w:eastAsia="Palatino Linotype" w:hAnsi="Palatino Linotype" w:cs="Palatino Linotype"/>
          <w:color w:val="231F20"/>
          <w:spacing w:val="-2"/>
          <w:sz w:val="20"/>
          <w:szCs w:val="20"/>
          <w:lang w:val="es-ES"/>
        </w:rPr>
        <w:t xml:space="preserve">la superación total del desencuentro continua siendo un desafío pendiente que dificulta el desarrollo de las competencias transversales (Ruth </w:t>
      </w:r>
      <w:r w:rsidR="00560AF9">
        <w:rPr>
          <w:rFonts w:ascii="Palatino Linotype" w:eastAsia="Palatino Linotype" w:hAnsi="Palatino Linotype" w:cs="Palatino Linotype"/>
          <w:color w:val="231F20"/>
          <w:spacing w:val="-2"/>
          <w:sz w:val="20"/>
          <w:szCs w:val="20"/>
          <w:lang w:val="es-ES"/>
        </w:rPr>
        <w:t>&amp;</w:t>
      </w:r>
      <w:r w:rsidRPr="00BB6A23">
        <w:rPr>
          <w:rFonts w:ascii="Palatino Linotype" w:eastAsia="Palatino Linotype" w:hAnsi="Palatino Linotype" w:cs="Palatino Linotype"/>
          <w:color w:val="231F20"/>
          <w:spacing w:val="-2"/>
          <w:sz w:val="20"/>
          <w:szCs w:val="20"/>
          <w:lang w:val="es-ES"/>
        </w:rPr>
        <w:t xml:space="preserve"> otros, 2013, o</w:t>
      </w:r>
      <w:r w:rsidR="00DA4131">
        <w:rPr>
          <w:rFonts w:ascii="Palatino Linotype" w:eastAsia="Palatino Linotype" w:hAnsi="Palatino Linotype" w:cs="Palatino Linotype"/>
          <w:color w:val="231F20"/>
          <w:spacing w:val="-2"/>
          <w:sz w:val="20"/>
          <w:szCs w:val="20"/>
          <w:lang w:val="es-ES"/>
        </w:rPr>
        <w:t xml:space="preserve"> </w:t>
      </w:r>
      <w:r w:rsidR="00DA4131" w:rsidRPr="00BB6A23">
        <w:rPr>
          <w:rFonts w:ascii="Palatino Linotype" w:eastAsia="Palatino Linotype" w:hAnsi="Palatino Linotype" w:cs="Palatino Linotype"/>
          <w:color w:val="231F20"/>
          <w:spacing w:val="-2"/>
          <w:sz w:val="20"/>
          <w:szCs w:val="20"/>
          <w:lang w:val="es-ES"/>
        </w:rPr>
        <w:t>Villa</w:t>
      </w:r>
      <w:r w:rsidR="00DA4131">
        <w:rPr>
          <w:rFonts w:ascii="Palatino Linotype" w:eastAsia="Palatino Linotype" w:hAnsi="Palatino Linotype" w:cs="Palatino Linotype"/>
          <w:color w:val="231F20"/>
          <w:spacing w:val="-2"/>
          <w:sz w:val="20"/>
          <w:szCs w:val="20"/>
          <w:lang w:val="es-ES"/>
        </w:rPr>
        <w:t>r</w:t>
      </w:r>
      <w:r w:rsidR="00DA4131" w:rsidRPr="00BB6A23">
        <w:rPr>
          <w:rFonts w:ascii="Palatino Linotype" w:eastAsia="Palatino Linotype" w:hAnsi="Palatino Linotype" w:cs="Palatino Linotype"/>
          <w:color w:val="231F20"/>
          <w:spacing w:val="-2"/>
          <w:sz w:val="20"/>
          <w:szCs w:val="20"/>
          <w:lang w:val="es-ES"/>
        </w:rPr>
        <w:t>r</w:t>
      </w:r>
      <w:r w:rsidR="00DA4131">
        <w:rPr>
          <w:rFonts w:ascii="Palatino Linotype" w:eastAsia="Palatino Linotype" w:hAnsi="Palatino Linotype" w:cs="Palatino Linotype"/>
          <w:color w:val="231F20"/>
          <w:spacing w:val="-2"/>
          <w:sz w:val="20"/>
          <w:szCs w:val="20"/>
          <w:lang w:val="es-ES"/>
        </w:rPr>
        <w:t>o</w:t>
      </w:r>
      <w:r w:rsidRPr="00BB6A23">
        <w:rPr>
          <w:rFonts w:ascii="Palatino Linotype" w:eastAsia="Palatino Linotype" w:hAnsi="Palatino Linotype" w:cs="Palatino Linotype"/>
          <w:color w:val="231F20"/>
          <w:spacing w:val="-2"/>
          <w:sz w:val="20"/>
          <w:szCs w:val="20"/>
          <w:lang w:val="es-ES"/>
        </w:rPr>
        <w:t>el</w:t>
      </w:r>
      <w:r w:rsidR="00AF7EC8">
        <w:rPr>
          <w:rFonts w:ascii="Palatino Linotype" w:eastAsia="Palatino Linotype" w:hAnsi="Palatino Linotype" w:cs="Palatino Linotype"/>
          <w:color w:val="231F20"/>
          <w:spacing w:val="-2"/>
          <w:sz w:val="20"/>
          <w:szCs w:val="20"/>
          <w:lang w:val="es-ES"/>
        </w:rPr>
        <w:t xml:space="preserve"> </w:t>
      </w:r>
      <w:r w:rsidR="00560AF9">
        <w:rPr>
          <w:rFonts w:ascii="Palatino Linotype" w:eastAsia="Palatino Linotype" w:hAnsi="Palatino Linotype" w:cs="Palatino Linotype"/>
          <w:color w:val="231F20"/>
          <w:spacing w:val="-2"/>
          <w:sz w:val="20"/>
          <w:szCs w:val="20"/>
          <w:lang w:val="es-ES"/>
        </w:rPr>
        <w:t>&amp;</w:t>
      </w:r>
      <w:r w:rsidRPr="00BB6A23">
        <w:rPr>
          <w:rFonts w:ascii="Palatino Linotype" w:eastAsia="Palatino Linotype" w:hAnsi="Palatino Linotype" w:cs="Palatino Linotype"/>
          <w:color w:val="231F20"/>
          <w:spacing w:val="-2"/>
          <w:sz w:val="20"/>
          <w:szCs w:val="20"/>
          <w:lang w:val="es-ES"/>
        </w:rPr>
        <w:t xml:space="preserve"> Bruna, 2014). Para salvar esta situación </w:t>
      </w:r>
      <w:proofErr w:type="spellStart"/>
      <w:r w:rsidRPr="00BB6A23">
        <w:rPr>
          <w:rFonts w:ascii="Palatino Linotype" w:eastAsia="Palatino Linotype" w:hAnsi="Palatino Linotype" w:cs="Palatino Linotype"/>
          <w:color w:val="231F20"/>
          <w:spacing w:val="-2"/>
          <w:sz w:val="20"/>
          <w:szCs w:val="20"/>
          <w:lang w:val="es-ES"/>
        </w:rPr>
        <w:t>Parris</w:t>
      </w:r>
      <w:proofErr w:type="spellEnd"/>
      <w:r w:rsidR="002D27C8">
        <w:rPr>
          <w:rFonts w:ascii="Palatino Linotype" w:eastAsia="Palatino Linotype" w:hAnsi="Palatino Linotype" w:cs="Palatino Linotype"/>
          <w:color w:val="231F20"/>
          <w:spacing w:val="-2"/>
          <w:sz w:val="20"/>
          <w:szCs w:val="20"/>
          <w:lang w:val="es-ES"/>
        </w:rPr>
        <w:t xml:space="preserve"> </w:t>
      </w:r>
      <w:r w:rsidR="00560AF9">
        <w:rPr>
          <w:rFonts w:ascii="Palatino Linotype" w:eastAsia="Palatino Linotype" w:hAnsi="Palatino Linotype" w:cs="Palatino Linotype"/>
          <w:color w:val="231F20"/>
          <w:spacing w:val="-2"/>
          <w:sz w:val="20"/>
          <w:szCs w:val="20"/>
          <w:lang w:val="es-ES"/>
        </w:rPr>
        <w:t>&amp;</w:t>
      </w:r>
      <w:r w:rsidR="002D27C8">
        <w:rPr>
          <w:rFonts w:ascii="Palatino Linotype" w:eastAsia="Palatino Linotype" w:hAnsi="Palatino Linotype" w:cs="Palatino Linotype"/>
          <w:color w:val="231F20"/>
          <w:spacing w:val="-2"/>
          <w:sz w:val="20"/>
          <w:szCs w:val="20"/>
          <w:lang w:val="es-ES"/>
        </w:rPr>
        <w:t xml:space="preserve"> </w:t>
      </w:r>
      <w:proofErr w:type="spellStart"/>
      <w:r w:rsidRPr="00BB6A23">
        <w:rPr>
          <w:rFonts w:ascii="Palatino Linotype" w:eastAsia="Palatino Linotype" w:hAnsi="Palatino Linotype" w:cs="Palatino Linotype"/>
          <w:color w:val="231F20"/>
          <w:spacing w:val="-2"/>
          <w:sz w:val="20"/>
          <w:szCs w:val="20"/>
          <w:lang w:val="es-ES"/>
        </w:rPr>
        <w:t>Saville</w:t>
      </w:r>
      <w:proofErr w:type="spellEnd"/>
      <w:r w:rsidRPr="00BB6A23">
        <w:rPr>
          <w:rFonts w:ascii="Palatino Linotype" w:eastAsia="Palatino Linotype" w:hAnsi="Palatino Linotype" w:cs="Palatino Linotype"/>
          <w:color w:val="231F20"/>
          <w:spacing w:val="-2"/>
          <w:sz w:val="20"/>
          <w:szCs w:val="20"/>
          <w:lang w:val="es-ES"/>
        </w:rPr>
        <w:t xml:space="preserve"> (2011) </w:t>
      </w:r>
      <w:r w:rsidR="009807CF">
        <w:rPr>
          <w:rFonts w:ascii="Palatino Linotype" w:eastAsia="Palatino Linotype" w:hAnsi="Palatino Linotype" w:cs="Palatino Linotype"/>
          <w:color w:val="231F20"/>
          <w:spacing w:val="-2"/>
          <w:sz w:val="20"/>
          <w:szCs w:val="20"/>
          <w:lang w:val="es-ES"/>
        </w:rPr>
        <w:t>p</w:t>
      </w:r>
      <w:r w:rsidRPr="00BB6A23">
        <w:rPr>
          <w:rFonts w:ascii="Palatino Linotype" w:eastAsia="Palatino Linotype" w:hAnsi="Palatino Linotype" w:cs="Palatino Linotype"/>
          <w:color w:val="231F20"/>
          <w:spacing w:val="-2"/>
          <w:sz w:val="20"/>
          <w:szCs w:val="20"/>
          <w:lang w:val="es-ES"/>
        </w:rPr>
        <w:t xml:space="preserve">roponen, entre otras medidas: promover intercambios de conocimiento entre universidad y empresa, aumentar la presencia de la formación práctica en los planes de estudios, incorporar experiencias prácticas en empresas a la formación universitaria, reforzar los vínculos con el ámbito empresarial, contratar profesorado con experiencia en el ámbito laboral para realizar labores docentes en la universidad, y participar conjuntamente en el diseño de propuestas formativas. </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Cambios como estos no sólo requieren compromisos y apoyos instituciones, sino que deben ir acompañados, y así lo reconocen los docentes que han participado en el estudio, de un cambio de mentalidad en profesorado y estudiantes. Consideran, en este sentido, que el individualismo del alumnado, junto a la falta de implicación en su aprendizaje, son factores que dificultan el aprendizaje </w:t>
      </w:r>
      <w:r w:rsidR="00B420BC">
        <w:rPr>
          <w:rFonts w:ascii="Palatino Linotype" w:eastAsia="Palatino Linotype" w:hAnsi="Palatino Linotype" w:cs="Palatino Linotype"/>
          <w:color w:val="231F20"/>
          <w:spacing w:val="-2"/>
          <w:sz w:val="20"/>
          <w:szCs w:val="20"/>
          <w:lang w:val="es-ES"/>
        </w:rPr>
        <w:t>de</w:t>
      </w:r>
      <w:r w:rsidRPr="00BB6A23">
        <w:rPr>
          <w:rFonts w:ascii="Palatino Linotype" w:eastAsia="Palatino Linotype" w:hAnsi="Palatino Linotype" w:cs="Palatino Linotype"/>
          <w:color w:val="231F20"/>
          <w:spacing w:val="-2"/>
          <w:sz w:val="20"/>
          <w:szCs w:val="20"/>
          <w:lang w:val="es-ES"/>
        </w:rPr>
        <w:t xml:space="preserve"> competencias y obstaculizan los esfuerzos realizados para impulsar su incorporación a la educación superior, opinión ésta subrayada también por </w:t>
      </w:r>
      <w:proofErr w:type="spellStart"/>
      <w:r w:rsidRPr="00BB6A23">
        <w:rPr>
          <w:rFonts w:ascii="Palatino Linotype" w:eastAsia="Palatino Linotype" w:hAnsi="Palatino Linotype" w:cs="Palatino Linotype"/>
          <w:color w:val="231F20"/>
          <w:spacing w:val="-2"/>
          <w:sz w:val="20"/>
          <w:szCs w:val="20"/>
          <w:lang w:val="es-ES"/>
        </w:rPr>
        <w:t>Tran</w:t>
      </w:r>
      <w:proofErr w:type="spellEnd"/>
      <w:r w:rsidRPr="00BB6A23">
        <w:rPr>
          <w:rFonts w:ascii="Palatino Linotype" w:eastAsia="Palatino Linotype" w:hAnsi="Palatino Linotype" w:cs="Palatino Linotype"/>
          <w:color w:val="231F20"/>
          <w:spacing w:val="-2"/>
          <w:sz w:val="20"/>
          <w:szCs w:val="20"/>
          <w:lang w:val="es-ES"/>
        </w:rPr>
        <w:t xml:space="preserve"> (2013).</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Sin embargo, </w:t>
      </w:r>
      <w:r w:rsidR="000A72AB">
        <w:rPr>
          <w:rFonts w:ascii="Palatino Linotype" w:eastAsia="Palatino Linotype" w:hAnsi="Palatino Linotype" w:cs="Palatino Linotype"/>
          <w:color w:val="231F20"/>
          <w:spacing w:val="-2"/>
          <w:sz w:val="20"/>
          <w:szCs w:val="20"/>
          <w:lang w:val="es-ES"/>
        </w:rPr>
        <w:t xml:space="preserve">entre </w:t>
      </w:r>
      <w:r w:rsidRPr="00BB6A23">
        <w:rPr>
          <w:rFonts w:ascii="Palatino Linotype" w:eastAsia="Palatino Linotype" w:hAnsi="Palatino Linotype" w:cs="Palatino Linotype"/>
          <w:color w:val="231F20"/>
          <w:spacing w:val="-2"/>
          <w:sz w:val="20"/>
          <w:szCs w:val="20"/>
          <w:lang w:val="es-ES"/>
        </w:rPr>
        <w:t xml:space="preserve">las dificultades más reiteradas por los docentes para la </w:t>
      </w:r>
      <w:r w:rsidR="000A72AB">
        <w:rPr>
          <w:rFonts w:ascii="Palatino Linotype" w:eastAsia="Palatino Linotype" w:hAnsi="Palatino Linotype" w:cs="Palatino Linotype"/>
          <w:color w:val="231F20"/>
          <w:spacing w:val="-2"/>
          <w:sz w:val="20"/>
          <w:szCs w:val="20"/>
          <w:lang w:val="es-ES"/>
        </w:rPr>
        <w:t xml:space="preserve">incorporación exitosa del </w:t>
      </w:r>
      <w:r w:rsidRPr="00BB6A23">
        <w:rPr>
          <w:rFonts w:ascii="Palatino Linotype" w:eastAsia="Palatino Linotype" w:hAnsi="Palatino Linotype" w:cs="Palatino Linotype"/>
          <w:color w:val="231F20"/>
          <w:spacing w:val="-2"/>
          <w:sz w:val="20"/>
          <w:szCs w:val="20"/>
          <w:lang w:val="es-ES"/>
        </w:rPr>
        <w:t>enfoque por competencias</w:t>
      </w:r>
      <w:r w:rsidR="000A72AB">
        <w:rPr>
          <w:rFonts w:ascii="Palatino Linotype" w:eastAsia="Palatino Linotype" w:hAnsi="Palatino Linotype" w:cs="Palatino Linotype"/>
          <w:color w:val="231F20"/>
          <w:spacing w:val="-2"/>
          <w:sz w:val="20"/>
          <w:szCs w:val="20"/>
          <w:lang w:val="es-ES"/>
        </w:rPr>
        <w:t xml:space="preserve"> figura </w:t>
      </w:r>
      <w:r w:rsidRPr="00BB6A23">
        <w:rPr>
          <w:rFonts w:ascii="Palatino Linotype" w:eastAsia="Palatino Linotype" w:hAnsi="Palatino Linotype" w:cs="Palatino Linotype"/>
          <w:color w:val="231F20"/>
          <w:spacing w:val="-2"/>
          <w:sz w:val="20"/>
          <w:szCs w:val="20"/>
          <w:lang w:val="es-ES"/>
        </w:rPr>
        <w:t xml:space="preserve">la falta de formación del profesorado. La escasa atención deparada a la formación docente del profesorado universitario ha colocado a este colectivo en una situación de debilidad para hacer frente a los retos pedagógicos y culturales que supone pasar de un modelo centrado en la enseñanza a un modelo basado en el aprendizaje de competencias. </w:t>
      </w:r>
      <w:r w:rsidR="00102563">
        <w:rPr>
          <w:rFonts w:ascii="Palatino Linotype" w:eastAsia="Palatino Linotype" w:hAnsi="Palatino Linotype" w:cs="Palatino Linotype"/>
          <w:color w:val="231F20"/>
          <w:spacing w:val="-2"/>
          <w:sz w:val="20"/>
          <w:szCs w:val="20"/>
          <w:lang w:val="es-ES"/>
        </w:rPr>
        <w:t xml:space="preserve">Su adopción </w:t>
      </w:r>
      <w:r w:rsidRPr="00BB6A23">
        <w:rPr>
          <w:rFonts w:ascii="Palatino Linotype" w:eastAsia="Palatino Linotype" w:hAnsi="Palatino Linotype" w:cs="Palatino Linotype"/>
          <w:color w:val="231F20"/>
          <w:spacing w:val="-2"/>
          <w:sz w:val="20"/>
          <w:szCs w:val="20"/>
          <w:lang w:val="es-ES"/>
        </w:rPr>
        <w:t xml:space="preserve">demanda de ellos, entre otras cuestiones, </w:t>
      </w:r>
      <w:r w:rsidR="00102563">
        <w:rPr>
          <w:rFonts w:ascii="Palatino Linotype" w:eastAsia="Palatino Linotype" w:hAnsi="Palatino Linotype" w:cs="Palatino Linotype"/>
          <w:color w:val="231F20"/>
          <w:spacing w:val="-2"/>
          <w:sz w:val="20"/>
          <w:szCs w:val="20"/>
          <w:lang w:val="es-ES"/>
        </w:rPr>
        <w:t xml:space="preserve">mejorar </w:t>
      </w:r>
      <w:r w:rsidRPr="00BB6A23">
        <w:rPr>
          <w:rFonts w:ascii="Palatino Linotype" w:eastAsia="Palatino Linotype" w:hAnsi="Palatino Linotype" w:cs="Palatino Linotype"/>
          <w:color w:val="231F20"/>
          <w:spacing w:val="-2"/>
          <w:sz w:val="20"/>
          <w:szCs w:val="20"/>
          <w:lang w:val="es-ES"/>
        </w:rPr>
        <w:t>la formación práctica y establec</w:t>
      </w:r>
      <w:r w:rsidR="00102563">
        <w:rPr>
          <w:rFonts w:ascii="Palatino Linotype" w:eastAsia="Palatino Linotype" w:hAnsi="Palatino Linotype" w:cs="Palatino Linotype"/>
          <w:color w:val="231F20"/>
          <w:spacing w:val="-2"/>
          <w:sz w:val="20"/>
          <w:szCs w:val="20"/>
          <w:lang w:val="es-ES"/>
        </w:rPr>
        <w:t>er</w:t>
      </w:r>
      <w:r w:rsidRPr="00BB6A23">
        <w:rPr>
          <w:rFonts w:ascii="Palatino Linotype" w:eastAsia="Palatino Linotype" w:hAnsi="Palatino Linotype" w:cs="Palatino Linotype"/>
          <w:color w:val="231F20"/>
          <w:spacing w:val="-2"/>
          <w:sz w:val="20"/>
          <w:szCs w:val="20"/>
          <w:lang w:val="es-ES"/>
        </w:rPr>
        <w:t xml:space="preserve"> </w:t>
      </w:r>
      <w:r w:rsidRPr="00BB6A23">
        <w:rPr>
          <w:rFonts w:ascii="Palatino Linotype" w:eastAsia="Palatino Linotype" w:hAnsi="Palatino Linotype" w:cs="Palatino Linotype"/>
          <w:color w:val="231F20"/>
          <w:spacing w:val="-2"/>
          <w:sz w:val="20"/>
          <w:szCs w:val="20"/>
          <w:lang w:val="es-ES"/>
        </w:rPr>
        <w:lastRenderedPageBreak/>
        <w:t xml:space="preserve">vínculos más </w:t>
      </w:r>
      <w:r w:rsidR="00102563">
        <w:rPr>
          <w:rFonts w:ascii="Palatino Linotype" w:eastAsia="Palatino Linotype" w:hAnsi="Palatino Linotype" w:cs="Palatino Linotype"/>
          <w:color w:val="231F20"/>
          <w:spacing w:val="-2"/>
          <w:sz w:val="20"/>
          <w:szCs w:val="20"/>
          <w:lang w:val="es-ES"/>
        </w:rPr>
        <w:t xml:space="preserve">estrechos </w:t>
      </w:r>
      <w:r w:rsidRPr="00BB6A23">
        <w:rPr>
          <w:rFonts w:ascii="Palatino Linotype" w:eastAsia="Palatino Linotype" w:hAnsi="Palatino Linotype" w:cs="Palatino Linotype"/>
          <w:color w:val="231F20"/>
          <w:spacing w:val="-2"/>
          <w:sz w:val="20"/>
          <w:szCs w:val="20"/>
          <w:lang w:val="es-ES"/>
        </w:rPr>
        <w:t>con el mundo empresarial (</w:t>
      </w:r>
      <w:proofErr w:type="spellStart"/>
      <w:r w:rsidRPr="00BB6A23">
        <w:rPr>
          <w:rFonts w:ascii="Palatino Linotype" w:eastAsia="Palatino Linotype" w:hAnsi="Palatino Linotype" w:cs="Palatino Linotype"/>
          <w:color w:val="231F20"/>
          <w:spacing w:val="-2"/>
          <w:sz w:val="20"/>
          <w:szCs w:val="20"/>
          <w:lang w:val="es-ES"/>
        </w:rPr>
        <w:t>Parris&amp;Saville</w:t>
      </w:r>
      <w:proofErr w:type="spellEnd"/>
      <w:r w:rsidRPr="00BB6A23">
        <w:rPr>
          <w:rFonts w:ascii="Palatino Linotype" w:eastAsia="Palatino Linotype" w:hAnsi="Palatino Linotype" w:cs="Palatino Linotype"/>
          <w:color w:val="231F20"/>
          <w:spacing w:val="-2"/>
          <w:sz w:val="20"/>
          <w:szCs w:val="20"/>
          <w:lang w:val="es-ES"/>
        </w:rPr>
        <w:t>, 2011), desplegar nuevas iniciativas metodológicas que refuercen el compromiso del alumnado con su aprendizaje (</w:t>
      </w:r>
      <w:proofErr w:type="spellStart"/>
      <w:r w:rsidRPr="00BB6A23">
        <w:rPr>
          <w:rFonts w:ascii="Palatino Linotype" w:eastAsia="Palatino Linotype" w:hAnsi="Palatino Linotype" w:cs="Palatino Linotype"/>
          <w:color w:val="231F20"/>
          <w:spacing w:val="-2"/>
          <w:sz w:val="20"/>
          <w:szCs w:val="20"/>
          <w:lang w:val="es-ES"/>
        </w:rPr>
        <w:t>Tran</w:t>
      </w:r>
      <w:proofErr w:type="spellEnd"/>
      <w:r w:rsidRPr="00BB6A23">
        <w:rPr>
          <w:rFonts w:ascii="Palatino Linotype" w:eastAsia="Palatino Linotype" w:hAnsi="Palatino Linotype" w:cs="Palatino Linotype"/>
          <w:color w:val="231F20"/>
          <w:spacing w:val="-2"/>
          <w:sz w:val="20"/>
          <w:szCs w:val="20"/>
          <w:lang w:val="es-ES"/>
        </w:rPr>
        <w:t>, 2013</w:t>
      </w:r>
      <w:r w:rsidR="00984ED1">
        <w:rPr>
          <w:rFonts w:ascii="Palatino Linotype" w:eastAsia="Palatino Linotype" w:hAnsi="Palatino Linotype" w:cs="Palatino Linotype"/>
          <w:color w:val="231F20"/>
          <w:spacing w:val="-2"/>
          <w:sz w:val="20"/>
          <w:szCs w:val="20"/>
          <w:lang w:val="es-ES"/>
        </w:rPr>
        <w:t xml:space="preserve"> y</w:t>
      </w:r>
      <w:r w:rsidR="00984ED1" w:rsidRPr="00984ED1">
        <w:rPr>
          <w:rFonts w:ascii="Palatino Linotype" w:hAnsi="Palatino Linotype" w:cs="ArialNarrow"/>
          <w:sz w:val="20"/>
          <w:szCs w:val="20"/>
          <w:lang w:val="es-ES" w:eastAsia="es-ES"/>
        </w:rPr>
        <w:t xml:space="preserve"> Navarro</w:t>
      </w:r>
      <w:r w:rsidR="00984ED1">
        <w:rPr>
          <w:rFonts w:ascii="Palatino Linotype" w:hAnsi="Palatino Linotype" w:cs="ArialNarrow"/>
          <w:sz w:val="20"/>
          <w:szCs w:val="20"/>
          <w:lang w:val="es-ES" w:eastAsia="es-ES"/>
        </w:rPr>
        <w:t xml:space="preserve">, </w:t>
      </w:r>
      <w:r w:rsidR="00984ED1" w:rsidRPr="00984ED1">
        <w:rPr>
          <w:rFonts w:ascii="Palatino Linotype" w:hAnsi="Palatino Linotype" w:cs="ArialNarrow"/>
          <w:sz w:val="20"/>
          <w:szCs w:val="20"/>
          <w:lang w:val="es-ES" w:eastAsia="es-ES"/>
        </w:rPr>
        <w:t>González</w:t>
      </w:r>
      <w:r w:rsidR="00984ED1">
        <w:rPr>
          <w:rFonts w:ascii="Palatino Linotype" w:hAnsi="Palatino Linotype" w:cs="ArialNarrow"/>
          <w:sz w:val="20"/>
          <w:szCs w:val="20"/>
          <w:lang w:val="es-ES" w:eastAsia="es-ES"/>
        </w:rPr>
        <w:t>,</w:t>
      </w:r>
      <w:r w:rsidR="00984ED1" w:rsidRPr="00984ED1">
        <w:rPr>
          <w:rFonts w:ascii="Palatino Linotype" w:hAnsi="Palatino Linotype" w:cs="ArialNarrow"/>
          <w:sz w:val="20"/>
          <w:szCs w:val="20"/>
          <w:lang w:val="es-ES" w:eastAsia="es-ES"/>
        </w:rPr>
        <w:t xml:space="preserve"> López</w:t>
      </w:r>
      <w:r w:rsidR="00984ED1">
        <w:rPr>
          <w:rFonts w:ascii="Palatino Linotype" w:hAnsi="Palatino Linotype" w:cs="ArialNarrow"/>
          <w:sz w:val="20"/>
          <w:szCs w:val="20"/>
          <w:lang w:val="es-ES" w:eastAsia="es-ES"/>
        </w:rPr>
        <w:t xml:space="preserve"> y</w:t>
      </w:r>
      <w:r w:rsidR="00984ED1" w:rsidRPr="00984ED1">
        <w:rPr>
          <w:rFonts w:ascii="Palatino Linotype" w:hAnsi="Palatino Linotype" w:cs="ArialNarrow"/>
          <w:sz w:val="20"/>
          <w:szCs w:val="20"/>
          <w:lang w:val="es-ES" w:eastAsia="es-ES"/>
        </w:rPr>
        <w:t xml:space="preserve"> Botella</w:t>
      </w:r>
      <w:r w:rsidR="00984ED1">
        <w:rPr>
          <w:rFonts w:ascii="Palatino Linotype" w:hAnsi="Palatino Linotype" w:cs="ArialNarrow"/>
          <w:sz w:val="20"/>
          <w:szCs w:val="20"/>
          <w:lang w:val="es-ES" w:eastAsia="es-ES"/>
        </w:rPr>
        <w:t>,</w:t>
      </w:r>
      <w:r w:rsidR="00984ED1" w:rsidRPr="00984ED1">
        <w:rPr>
          <w:rFonts w:ascii="Palatino Linotype" w:hAnsi="Palatino Linotype" w:cs="ArialNarrow"/>
          <w:sz w:val="20"/>
          <w:szCs w:val="20"/>
          <w:lang w:val="es-ES" w:eastAsia="es-ES"/>
        </w:rPr>
        <w:t xml:space="preserve"> 2015</w:t>
      </w:r>
      <w:r w:rsidRPr="00BB6A23">
        <w:rPr>
          <w:rFonts w:ascii="Palatino Linotype" w:eastAsia="Palatino Linotype" w:hAnsi="Palatino Linotype" w:cs="Palatino Linotype"/>
          <w:color w:val="231F20"/>
          <w:spacing w:val="-2"/>
          <w:sz w:val="20"/>
          <w:szCs w:val="20"/>
          <w:lang w:val="es-ES"/>
        </w:rPr>
        <w:t xml:space="preserve">), poner en marcha </w:t>
      </w:r>
      <w:r w:rsidR="00102563">
        <w:rPr>
          <w:rFonts w:ascii="Palatino Linotype" w:eastAsia="Palatino Linotype" w:hAnsi="Palatino Linotype" w:cs="Palatino Linotype"/>
          <w:color w:val="231F20"/>
          <w:spacing w:val="-2"/>
          <w:sz w:val="20"/>
          <w:szCs w:val="20"/>
          <w:lang w:val="es-ES"/>
        </w:rPr>
        <w:t xml:space="preserve">nuevos </w:t>
      </w:r>
      <w:r w:rsidRPr="00BB6A23">
        <w:rPr>
          <w:rFonts w:ascii="Palatino Linotype" w:eastAsia="Palatino Linotype" w:hAnsi="Palatino Linotype" w:cs="Palatino Linotype"/>
          <w:color w:val="231F20"/>
          <w:spacing w:val="-2"/>
          <w:sz w:val="20"/>
          <w:szCs w:val="20"/>
          <w:lang w:val="es-ES"/>
        </w:rPr>
        <w:t>sistemas de evaluación (</w:t>
      </w:r>
      <w:r w:rsidR="000F3BBA" w:rsidRPr="000F3BBA">
        <w:rPr>
          <w:rStyle w:val="A2"/>
          <w:rFonts w:ascii="Palatino Linotype" w:hAnsi="Palatino Linotype"/>
          <w:sz w:val="20"/>
          <w:szCs w:val="20"/>
          <w:lang w:val="es-ES"/>
        </w:rPr>
        <w:t>Medina,</w:t>
      </w:r>
      <w:r w:rsidR="00AF7EC8">
        <w:rPr>
          <w:rStyle w:val="A2"/>
          <w:rFonts w:ascii="Palatino Linotype" w:hAnsi="Palatino Linotype"/>
          <w:sz w:val="20"/>
          <w:szCs w:val="20"/>
          <w:lang w:val="es-ES"/>
        </w:rPr>
        <w:t xml:space="preserve"> </w:t>
      </w:r>
      <w:r w:rsidR="000F3BBA" w:rsidRPr="000F3BBA">
        <w:rPr>
          <w:rStyle w:val="A2"/>
          <w:rFonts w:ascii="Palatino Linotype" w:hAnsi="Palatino Linotype"/>
          <w:sz w:val="20"/>
          <w:szCs w:val="20"/>
          <w:lang w:val="es-ES"/>
        </w:rPr>
        <w:t>Domínguez,</w:t>
      </w:r>
      <w:r w:rsidR="000F3BBA">
        <w:rPr>
          <w:rStyle w:val="A2"/>
          <w:rFonts w:ascii="Palatino Linotype" w:hAnsi="Palatino Linotype"/>
          <w:sz w:val="20"/>
          <w:szCs w:val="20"/>
          <w:lang w:val="es-ES"/>
        </w:rPr>
        <w:t xml:space="preserve"> y</w:t>
      </w:r>
      <w:r w:rsidR="000F3BBA" w:rsidRPr="000F3BBA">
        <w:rPr>
          <w:rStyle w:val="A2"/>
          <w:rFonts w:ascii="Palatino Linotype" w:hAnsi="Palatino Linotype"/>
          <w:sz w:val="20"/>
          <w:szCs w:val="20"/>
          <w:lang w:val="es-ES"/>
        </w:rPr>
        <w:t xml:space="preserve"> Sánchez</w:t>
      </w:r>
      <w:r w:rsidR="00356435">
        <w:rPr>
          <w:rStyle w:val="A2"/>
          <w:rFonts w:ascii="Palatino Linotype" w:hAnsi="Palatino Linotype"/>
          <w:sz w:val="20"/>
          <w:szCs w:val="20"/>
          <w:lang w:val="es-ES"/>
        </w:rPr>
        <w:t>, 2015 y</w:t>
      </w:r>
      <w:r w:rsidR="0062216D">
        <w:rPr>
          <w:rStyle w:val="A2"/>
          <w:rFonts w:ascii="Palatino Linotype" w:hAnsi="Palatino Linotype"/>
          <w:sz w:val="20"/>
          <w:szCs w:val="20"/>
          <w:lang w:val="es-ES"/>
        </w:rPr>
        <w:t xml:space="preserve"> </w:t>
      </w:r>
      <w:r w:rsidRPr="00BB6A23">
        <w:rPr>
          <w:rFonts w:ascii="Palatino Linotype" w:eastAsia="Palatino Linotype" w:hAnsi="Palatino Linotype" w:cs="Palatino Linotype"/>
          <w:color w:val="231F20"/>
          <w:spacing w:val="-2"/>
          <w:sz w:val="20"/>
          <w:szCs w:val="20"/>
          <w:lang w:val="es-ES"/>
        </w:rPr>
        <w:t>Cano y Fernández-Ferrer, 2016), … cambios difíciles de afrontar con éxito si no se tiene el compromiso y la cualificación necesarias. Los profesores así lo han manifestado al reconocer su dificultad, por ejemplo, para diferenciar objetivos de competencias, gestionar el trabajo en grupo o llevar a cabo la evaluación de competencias.</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En relación a este último aspecto, los docentes de nuestro estudio vinculan </w:t>
      </w:r>
      <w:r w:rsidR="00D63617">
        <w:rPr>
          <w:rFonts w:ascii="Palatino Linotype" w:eastAsia="Palatino Linotype" w:hAnsi="Palatino Linotype" w:cs="Palatino Linotype"/>
          <w:color w:val="231F20"/>
          <w:spacing w:val="-2"/>
          <w:sz w:val="20"/>
          <w:szCs w:val="20"/>
          <w:lang w:val="es-ES"/>
        </w:rPr>
        <w:t>l</w:t>
      </w:r>
      <w:r w:rsidRPr="00BB6A23">
        <w:rPr>
          <w:rFonts w:ascii="Palatino Linotype" w:eastAsia="Palatino Linotype" w:hAnsi="Palatino Linotype" w:cs="Palatino Linotype"/>
          <w:color w:val="231F20"/>
          <w:spacing w:val="-2"/>
          <w:sz w:val="20"/>
          <w:szCs w:val="20"/>
          <w:lang w:val="es-ES"/>
        </w:rPr>
        <w:t>a dificultad para evaluar competencias, básicamente, a dos cuestiones: su falta de formación y el carácter academicista que aún prevalece en la institución universitaria. La incorporación de este segundo elemento pone de manifiesto la necesidad de abordar el enfoque por competencias en la institución universitaria desde una perspectiva más holística y compleja que ayude a introducir nuevas claves en los estudios y articular respuestas más integrales y mejor coordinadas desde el punto de vista estructural, pedagógico y didáctico. Se trataría, como ha señalado Euler (2015), de adoptar perspectivas más amplias que abarquen tanto el desarrollo de los docentes como el desarrollo organizativo de las estructuras y las culturas universitarias.</w:t>
      </w:r>
    </w:p>
    <w:p w:rsidR="00BB6A23" w:rsidRDefault="000C5C48"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E</w:t>
      </w:r>
      <w:r w:rsidR="00BB6A23" w:rsidRPr="00BB6A23">
        <w:rPr>
          <w:rFonts w:ascii="Palatino Linotype" w:eastAsia="Palatino Linotype" w:hAnsi="Palatino Linotype" w:cs="Palatino Linotype"/>
          <w:color w:val="231F20"/>
          <w:spacing w:val="-2"/>
          <w:sz w:val="20"/>
          <w:szCs w:val="20"/>
          <w:lang w:val="es-ES"/>
        </w:rPr>
        <w:t xml:space="preserve">n relación al impacto del enfoque por competencias, el profesorado, aunque reconocen algunas mejoras (en la retroalimentación ofrecida a los estudiantes, la expresión oral-escrita de los estudiantes, la participación y el trabajo en grupo y en los resultados académico), tiende a considerar que la repercusión en la práctica formativa universitaria ha sido nula, aproximándose así a las posiciones ya expresadas por autores como Villarroel </w:t>
      </w:r>
      <w:r w:rsidR="00560AF9">
        <w:rPr>
          <w:rFonts w:ascii="Palatino Linotype" w:eastAsia="Palatino Linotype" w:hAnsi="Palatino Linotype" w:cs="Palatino Linotype"/>
          <w:color w:val="231F20"/>
          <w:spacing w:val="-2"/>
          <w:sz w:val="20"/>
          <w:szCs w:val="20"/>
          <w:lang w:val="es-ES"/>
        </w:rPr>
        <w:t>&amp;</w:t>
      </w:r>
      <w:r w:rsidR="00BB6A23" w:rsidRPr="00BB6A23">
        <w:rPr>
          <w:rFonts w:ascii="Palatino Linotype" w:eastAsia="Palatino Linotype" w:hAnsi="Palatino Linotype" w:cs="Palatino Linotype"/>
          <w:color w:val="231F20"/>
          <w:spacing w:val="-2"/>
          <w:sz w:val="20"/>
          <w:szCs w:val="20"/>
          <w:lang w:val="es-ES"/>
        </w:rPr>
        <w:t xml:space="preserve"> Bruna (2014) o </w:t>
      </w:r>
      <w:proofErr w:type="spellStart"/>
      <w:r w:rsidR="00BB6A23" w:rsidRPr="00BB6A23">
        <w:rPr>
          <w:rFonts w:ascii="Palatino Linotype" w:eastAsia="Palatino Linotype" w:hAnsi="Palatino Linotype" w:cs="Palatino Linotype"/>
          <w:color w:val="231F20"/>
          <w:spacing w:val="-2"/>
          <w:sz w:val="20"/>
          <w:szCs w:val="20"/>
          <w:lang w:val="es-ES"/>
        </w:rPr>
        <w:t>Ermec</w:t>
      </w:r>
      <w:proofErr w:type="spellEnd"/>
      <w:r w:rsidR="00AF7EC8">
        <w:rPr>
          <w:rFonts w:ascii="Palatino Linotype" w:eastAsia="Palatino Linotype" w:hAnsi="Palatino Linotype" w:cs="Palatino Linotype"/>
          <w:color w:val="231F20"/>
          <w:spacing w:val="-2"/>
          <w:sz w:val="20"/>
          <w:szCs w:val="20"/>
          <w:lang w:val="es-ES"/>
        </w:rPr>
        <w:t xml:space="preserve"> </w:t>
      </w:r>
      <w:r w:rsidR="00BB6A23" w:rsidRPr="00BB6A23">
        <w:rPr>
          <w:rFonts w:ascii="Palatino Linotype" w:eastAsia="Palatino Linotype" w:hAnsi="Palatino Linotype" w:cs="Palatino Linotype"/>
          <w:color w:val="231F20"/>
          <w:spacing w:val="-2"/>
          <w:sz w:val="20"/>
          <w:szCs w:val="20"/>
          <w:lang w:val="es-ES"/>
        </w:rPr>
        <w:t>&amp;</w:t>
      </w:r>
      <w:proofErr w:type="spellStart"/>
      <w:r w:rsidR="00BB6A23" w:rsidRPr="00BB6A23">
        <w:rPr>
          <w:rFonts w:ascii="Palatino Linotype" w:eastAsia="Palatino Linotype" w:hAnsi="Palatino Linotype" w:cs="Palatino Linotype"/>
          <w:color w:val="231F20"/>
          <w:spacing w:val="-2"/>
          <w:sz w:val="20"/>
          <w:szCs w:val="20"/>
          <w:lang w:val="es-ES"/>
        </w:rPr>
        <w:t>Vujisic-Zivkovic</w:t>
      </w:r>
      <w:proofErr w:type="spellEnd"/>
      <w:r w:rsidR="00BB6A23" w:rsidRPr="00BB6A23">
        <w:rPr>
          <w:rFonts w:ascii="Palatino Linotype" w:eastAsia="Palatino Linotype" w:hAnsi="Palatino Linotype" w:cs="Palatino Linotype"/>
          <w:color w:val="231F20"/>
          <w:spacing w:val="-2"/>
          <w:sz w:val="20"/>
          <w:szCs w:val="20"/>
          <w:lang w:val="es-ES"/>
        </w:rPr>
        <w:t xml:space="preserve"> (2015). Sin embargo, esta apreciación no coincide con los resultados mostrados en otros trabajos, como los realizados por Villa </w:t>
      </w:r>
      <w:r w:rsidR="00560AF9">
        <w:rPr>
          <w:rFonts w:ascii="Palatino Linotype" w:eastAsia="Palatino Linotype" w:hAnsi="Palatino Linotype" w:cs="Palatino Linotype"/>
          <w:color w:val="231F20"/>
          <w:spacing w:val="-2"/>
          <w:sz w:val="20"/>
          <w:szCs w:val="20"/>
          <w:lang w:val="es-ES"/>
        </w:rPr>
        <w:t>&amp;</w:t>
      </w:r>
      <w:r w:rsidR="00BB6A23" w:rsidRPr="00BB6A23">
        <w:rPr>
          <w:rFonts w:ascii="Palatino Linotype" w:eastAsia="Palatino Linotype" w:hAnsi="Palatino Linotype" w:cs="Palatino Linotype"/>
          <w:color w:val="231F20"/>
          <w:spacing w:val="-2"/>
          <w:sz w:val="20"/>
          <w:szCs w:val="20"/>
          <w:lang w:val="es-ES"/>
        </w:rPr>
        <w:t xml:space="preserve"> otros (2015) o Miguel de, &amp; Lázaro de (2016) que subrayan las mejoras incorporadas a la enseñanza universitaria con el Proceso de Bolonia. En este sentido, y dado que no existe unanimidad a la hora de valorar el impacto real del enfoque por competencias en el contexto universitario, sería interesante ampliar el análisis de experiencias exitosas y profundizar en nuevos factores que pudieran e</w:t>
      </w:r>
      <w:r w:rsidR="00BB6A23">
        <w:rPr>
          <w:rFonts w:ascii="Palatino Linotype" w:eastAsia="Palatino Linotype" w:hAnsi="Palatino Linotype" w:cs="Palatino Linotype"/>
          <w:color w:val="231F20"/>
          <w:spacing w:val="-2"/>
          <w:sz w:val="20"/>
          <w:szCs w:val="20"/>
          <w:lang w:val="es-ES"/>
        </w:rPr>
        <w:t>star incidiendo en dicho éxito.</w:t>
      </w:r>
    </w:p>
    <w:p w:rsidR="00BB6A23" w:rsidRPr="00BB6A23" w:rsidRDefault="000C5C48"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Para terminar, destacamos</w:t>
      </w:r>
      <w:r w:rsidR="009B4EB4">
        <w:rPr>
          <w:rFonts w:ascii="Palatino Linotype" w:eastAsia="Palatino Linotype" w:hAnsi="Palatino Linotype" w:cs="Palatino Linotype"/>
          <w:color w:val="231F20"/>
          <w:spacing w:val="-2"/>
          <w:sz w:val="20"/>
          <w:szCs w:val="20"/>
          <w:lang w:val="es-ES"/>
        </w:rPr>
        <w:t>,</w:t>
      </w:r>
      <w:r>
        <w:rPr>
          <w:rFonts w:ascii="Palatino Linotype" w:eastAsia="Palatino Linotype" w:hAnsi="Palatino Linotype" w:cs="Palatino Linotype"/>
          <w:color w:val="231F20"/>
          <w:spacing w:val="-2"/>
          <w:sz w:val="20"/>
          <w:szCs w:val="20"/>
          <w:lang w:val="es-ES"/>
        </w:rPr>
        <w:t xml:space="preserve"> de forma breve</w:t>
      </w:r>
      <w:r w:rsidR="00BB6A23" w:rsidRPr="00BB6A23">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las conclusiones del estudio</w:t>
      </w:r>
      <w:r w:rsidR="00BB6A23" w:rsidRPr="00BB6A23">
        <w:rPr>
          <w:rFonts w:ascii="Palatino Linotype" w:eastAsia="Palatino Linotype" w:hAnsi="Palatino Linotype" w:cs="Palatino Linotype"/>
          <w:color w:val="231F20"/>
          <w:spacing w:val="-2"/>
          <w:sz w:val="20"/>
          <w:szCs w:val="20"/>
          <w:lang w:val="es-ES"/>
        </w:rPr>
        <w:t>:</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El profesorado universitario subraya, como características definitorias de las competencias, su naturaleza integral y, sobre todo, su conexión con la acción y su contribución a la articulación de respuestas más adecuadas para responder a los desafíos complejos del contexto profesional, lo que evidencia una aproximación al enfoque holístico de competencia, más que al estrictamente conductual.</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 Los docentes se muestran divididos al valorar el enfoque por competencias, sin que pueda decirse que exista una tendencia clara a favor o en contra de su adopción. Valoran positivamente los cambios estructurales asociados a la formación por competencias, las posibilidades de innovación y renovación de la enseñanza universitaria que ofrece, y la apertura a nuevos entornos formativos no universitarios. Por el contrario, los motivos para justificar su rechazo se centran, fundamentalmente, en la falta de recursos y apoyos con los que se ha puesto en marcha esta reforma, la </w:t>
      </w:r>
      <w:r w:rsidRPr="00BB6A23">
        <w:rPr>
          <w:rFonts w:ascii="Palatino Linotype" w:eastAsia="Palatino Linotype" w:hAnsi="Palatino Linotype" w:cs="Palatino Linotype"/>
          <w:color w:val="231F20"/>
          <w:spacing w:val="-2"/>
          <w:sz w:val="20"/>
          <w:szCs w:val="20"/>
          <w:lang w:val="es-ES"/>
        </w:rPr>
        <w:lastRenderedPageBreak/>
        <w:t>homogenización que promueve al fijar las mismas competencias para todo el alumnado y la devaluación de los contenidos académicos en favor de las competencias profesionales.</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xml:space="preserve">- Existe, igualmente, una falta de consenso </w:t>
      </w:r>
      <w:r w:rsidR="001C3D7B">
        <w:rPr>
          <w:rFonts w:ascii="Palatino Linotype" w:eastAsia="Palatino Linotype" w:hAnsi="Palatino Linotype" w:cs="Palatino Linotype"/>
          <w:color w:val="231F20"/>
          <w:spacing w:val="-2"/>
          <w:sz w:val="20"/>
          <w:szCs w:val="20"/>
          <w:lang w:val="es-ES"/>
        </w:rPr>
        <w:t>al</w:t>
      </w:r>
      <w:r w:rsidRPr="00BB6A23">
        <w:rPr>
          <w:rFonts w:ascii="Palatino Linotype" w:eastAsia="Palatino Linotype" w:hAnsi="Palatino Linotype" w:cs="Palatino Linotype"/>
          <w:color w:val="231F20"/>
          <w:spacing w:val="-2"/>
          <w:sz w:val="20"/>
          <w:szCs w:val="20"/>
          <w:lang w:val="es-ES"/>
        </w:rPr>
        <w:t xml:space="preserve"> valorar el carácter prescriptivo conferido a  las competencias en los </w:t>
      </w:r>
      <w:r w:rsidR="001C3D7B">
        <w:rPr>
          <w:rFonts w:ascii="Palatino Linotype" w:eastAsia="Palatino Linotype" w:hAnsi="Palatino Linotype" w:cs="Palatino Linotype"/>
          <w:color w:val="231F20"/>
          <w:spacing w:val="-2"/>
          <w:sz w:val="20"/>
          <w:szCs w:val="20"/>
          <w:lang w:val="es-ES"/>
        </w:rPr>
        <w:t>planes de formación</w:t>
      </w:r>
      <w:r w:rsidRPr="00BB6A23">
        <w:rPr>
          <w:rFonts w:ascii="Palatino Linotype" w:eastAsia="Palatino Linotype" w:hAnsi="Palatino Linotype" w:cs="Palatino Linotype"/>
          <w:color w:val="231F20"/>
          <w:spacing w:val="-2"/>
          <w:sz w:val="20"/>
          <w:szCs w:val="20"/>
          <w:lang w:val="es-ES"/>
        </w:rPr>
        <w:t xml:space="preserve"> universitaria y en las guías docentes. Algunos docentes valoran su explicitación y naturaleza prescriptiva como algo positivo que orienta la acción docente y compromete en la rendición de cuentas; mientras que otros consideran esta selección impuesta y cerrada como un obstáculo para la innovación y mejora de los procesos de enseñanza-aprendizaje en la universidad. </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Las competencias más polémicas para el profesorado universitario del estudio son las competencias transversales. Estos no parecen tener claro cómo incorporarlas e integrarlas en el currículum académico, ni cómo evaluarlas. Las competencias  transversales más recurridas han sido el trabajo en equipo, la aplicación de la teoría a la práctica y las relativas a la expresión oral-escrita y las habilidades comunicativas. Las menos referenciadas: el compromiso social y el dominio de una lengua extranjera.</w:t>
      </w:r>
    </w:p>
    <w:p w:rsidR="00BB6A23" w:rsidRPr="00BB6A2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Entre las dificultades que comporta la adopción del enfoque por competencias en el ámbito universitario se subrayan, entre otras, el carácter impositivo y prescriptivo de las competencias recogidas en los programas y guías docentes y el individualismo y falta de implicación del alumnado. Sin embargo, los mayores obstáculos referenciados por los docentes están directamente relacionados con el profesorado, concretamente con la falta de formación docente, la deficiente coordinación y su dificultad para afrontar la evaluación de competencias en un contexto básicamente académico como es el universitario.</w:t>
      </w:r>
    </w:p>
    <w:p w:rsidR="00427F63" w:rsidRDefault="00BB6A23" w:rsidP="00BB6A2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B6A23">
        <w:rPr>
          <w:rFonts w:ascii="Palatino Linotype" w:eastAsia="Palatino Linotype" w:hAnsi="Palatino Linotype" w:cs="Palatino Linotype"/>
          <w:color w:val="231F20"/>
          <w:spacing w:val="-2"/>
          <w:sz w:val="20"/>
          <w:szCs w:val="20"/>
          <w:lang w:val="es-ES"/>
        </w:rPr>
        <w:t>- Consideran, finalmente, que el enfoque por competencias en la universidad ha supuesto un aumento de trabajo para los estudiantes, ha tenido un impacto desigual entre el profesorado, y una influencia positiva en la mejora de la formación universitaria</w:t>
      </w:r>
      <w:r w:rsidR="005C73D8">
        <w:rPr>
          <w:rFonts w:ascii="Palatino Linotype" w:eastAsia="Palatino Linotype" w:hAnsi="Palatino Linotype" w:cs="Palatino Linotype"/>
          <w:color w:val="231F20"/>
          <w:spacing w:val="-2"/>
          <w:sz w:val="20"/>
          <w:szCs w:val="20"/>
          <w:lang w:val="es-ES"/>
        </w:rPr>
        <w:t xml:space="preserve"> </w:t>
      </w:r>
      <w:r w:rsidR="001C3D7B">
        <w:rPr>
          <w:rFonts w:ascii="Palatino Linotype" w:eastAsia="Palatino Linotype" w:hAnsi="Palatino Linotype" w:cs="Palatino Linotype"/>
          <w:color w:val="231F20"/>
          <w:spacing w:val="-2"/>
          <w:sz w:val="20"/>
          <w:szCs w:val="20"/>
          <w:lang w:val="es-ES"/>
        </w:rPr>
        <w:t>(</w:t>
      </w:r>
      <w:r w:rsidRPr="00BB6A23">
        <w:rPr>
          <w:rFonts w:ascii="Palatino Linotype" w:eastAsia="Palatino Linotype" w:hAnsi="Palatino Linotype" w:cs="Palatino Linotype"/>
          <w:color w:val="231F20"/>
          <w:spacing w:val="-2"/>
          <w:sz w:val="20"/>
          <w:szCs w:val="20"/>
          <w:lang w:val="es-ES"/>
        </w:rPr>
        <w:t>retroalimentación ofrecida a los estudiantes en su aprendizaje, mejora de la expresión oral-escrita y, en menor medida, en los resultados académicos y el incremento de la participación y el trabajo en grupo</w:t>
      </w:r>
      <w:r w:rsidR="001C3D7B">
        <w:rPr>
          <w:rFonts w:ascii="Palatino Linotype" w:eastAsia="Palatino Linotype" w:hAnsi="Palatino Linotype" w:cs="Palatino Linotype"/>
          <w:color w:val="231F20"/>
          <w:spacing w:val="-2"/>
          <w:sz w:val="20"/>
          <w:szCs w:val="20"/>
          <w:lang w:val="es-ES"/>
        </w:rPr>
        <w:t>)</w:t>
      </w:r>
      <w:r w:rsidRPr="00BB6A23">
        <w:rPr>
          <w:rFonts w:ascii="Palatino Linotype" w:eastAsia="Palatino Linotype" w:hAnsi="Palatino Linotype" w:cs="Palatino Linotype"/>
          <w:color w:val="231F20"/>
          <w:spacing w:val="-2"/>
          <w:sz w:val="20"/>
          <w:szCs w:val="20"/>
          <w:lang w:val="es-ES"/>
        </w:rPr>
        <w:t>. Pero, fundamentalmente, el profesorado tiende a considerar, mayoritariamente, que la repercusión del enfoque por competencias en la mejora de la práctica formativa ha sido nula. Están convencidos que aprovechar el potencial innovador y renovador que ellos mismos le confieren requiere un cambio de mentalidad de profesores y alumnos, pero también una nueva cultura institucional y profesional que dote de los recursos y medios necesario y coloque al profesorado universitario en disposición de responder a los desafíos que tiene actualmente la enseñanza universitaria. La incorporación exitosa del enfoque por competencias a la universidad española pasa, necesariamente, por incorporar nuevas claves al estudio de la actual reforma educativa, adoptar perspectivas más holísticas acordes con los tiempos complejos que vivimos, y atender a los aspectos culturales que lo impregnan todo.</w:t>
      </w:r>
    </w:p>
    <w:p w:rsidR="00B42735" w:rsidRPr="00C2190A" w:rsidRDefault="00B42735" w:rsidP="009A4B42">
      <w:pPr>
        <w:spacing w:after="0" w:line="240" w:lineRule="exact"/>
        <w:ind w:right="38"/>
        <w:rPr>
          <w:sz w:val="24"/>
          <w:szCs w:val="24"/>
          <w:lang w:val="es-ES"/>
        </w:rPr>
      </w:pPr>
    </w:p>
    <w:p w:rsidR="00734986" w:rsidRPr="00752292" w:rsidRDefault="00734986" w:rsidP="009A4B42">
      <w:pPr>
        <w:spacing w:after="0" w:line="240" w:lineRule="auto"/>
        <w:ind w:right="38"/>
        <w:jc w:val="center"/>
        <w:rPr>
          <w:rFonts w:ascii="Gill Sans MT" w:eastAsia="Gill Sans MT" w:hAnsi="Gill Sans MT" w:cs="Gill Sans MT"/>
          <w:sz w:val="20"/>
          <w:szCs w:val="20"/>
          <w:lang w:val="es-ES"/>
        </w:rPr>
      </w:pPr>
      <w:r>
        <w:rPr>
          <w:rFonts w:ascii="Gill Sans MT" w:eastAsia="Gill Sans MT" w:hAnsi="Gill Sans MT" w:cs="Gill Sans MT"/>
          <w:b/>
          <w:bCs/>
          <w:color w:val="231F20"/>
          <w:sz w:val="20"/>
          <w:szCs w:val="20"/>
          <w:lang w:val="es-ES"/>
        </w:rPr>
        <w:t xml:space="preserve">Referencias </w:t>
      </w:r>
    </w:p>
    <w:p w:rsidR="00B42735" w:rsidRPr="00752292" w:rsidRDefault="00B42735" w:rsidP="009A4B42">
      <w:pPr>
        <w:spacing w:after="0" w:line="240" w:lineRule="exact"/>
        <w:ind w:right="38"/>
        <w:rPr>
          <w:sz w:val="24"/>
          <w:szCs w:val="24"/>
          <w:lang w:val="es-ES"/>
        </w:rPr>
      </w:pPr>
    </w:p>
    <w:p w:rsidR="00AA3FB5" w:rsidRPr="00AA3FB5" w:rsidRDefault="0062216D" w:rsidP="00AA3FB5">
      <w:pPr>
        <w:pStyle w:val="Default"/>
        <w:ind w:left="567" w:hanging="567"/>
        <w:jc w:val="both"/>
        <w:rPr>
          <w:rFonts w:ascii="Palatino Linotype" w:hAnsi="Palatino Linotype" w:cs="Times New Roman"/>
          <w:color w:val="auto"/>
          <w:sz w:val="20"/>
          <w:szCs w:val="20"/>
        </w:rPr>
      </w:pPr>
      <w:r>
        <w:rPr>
          <w:rFonts w:ascii="Palatino Linotype" w:hAnsi="Palatino Linotype" w:cs="Times New Roman"/>
          <w:color w:val="auto"/>
          <w:sz w:val="20"/>
          <w:szCs w:val="20"/>
        </w:rPr>
        <w:lastRenderedPageBreak/>
        <w:t>Autores</w:t>
      </w:r>
      <w:r w:rsidR="00AA3FB5" w:rsidRPr="00461200">
        <w:rPr>
          <w:rFonts w:ascii="Palatino Linotype" w:hAnsi="Palatino Linotype" w:cs="Times New Roman"/>
          <w:color w:val="auto"/>
          <w:sz w:val="20"/>
          <w:szCs w:val="20"/>
        </w:rPr>
        <w:t xml:space="preserve"> (). Las competencias de los graduados y su</w:t>
      </w:r>
      <w:r w:rsidR="00AA3FB5" w:rsidRPr="00AA3FB5">
        <w:rPr>
          <w:rFonts w:ascii="Palatino Linotype" w:hAnsi="Palatino Linotype" w:cs="Times New Roman"/>
          <w:color w:val="auto"/>
          <w:sz w:val="20"/>
          <w:szCs w:val="20"/>
        </w:rPr>
        <w:t xml:space="preserve"> evaluación desde la perspectiva de los empleadores, </w:t>
      </w:r>
      <w:r w:rsidR="00AA3FB5" w:rsidRPr="00AA3FB5">
        <w:rPr>
          <w:rFonts w:ascii="Palatino Linotype" w:hAnsi="Palatino Linotype" w:cs="Times New Roman"/>
          <w:i/>
          <w:color w:val="auto"/>
          <w:sz w:val="20"/>
          <w:szCs w:val="20"/>
        </w:rPr>
        <w:t xml:space="preserve">Estudios Pedagógicos, 42 </w:t>
      </w:r>
      <w:r w:rsidR="00AA3FB5" w:rsidRPr="00AA3FB5">
        <w:rPr>
          <w:rFonts w:ascii="Palatino Linotype" w:hAnsi="Palatino Linotype" w:cs="Times New Roman"/>
          <w:color w:val="auto"/>
          <w:sz w:val="20"/>
          <w:szCs w:val="20"/>
        </w:rPr>
        <w:t xml:space="preserve">(3), 69-87. </w:t>
      </w:r>
    </w:p>
    <w:p w:rsidR="00AA3FB5" w:rsidRPr="00AA3FB5" w:rsidRDefault="00AA3FB5" w:rsidP="00AA3FB5">
      <w:pPr>
        <w:pStyle w:val="Default"/>
        <w:ind w:left="567" w:hanging="567"/>
        <w:jc w:val="both"/>
        <w:rPr>
          <w:rFonts w:ascii="Palatino Linotype" w:hAnsi="Palatino Linotype" w:cs="Times New Roman"/>
          <w:color w:val="auto"/>
          <w:sz w:val="20"/>
          <w:szCs w:val="20"/>
        </w:rPr>
      </w:pPr>
      <w:r w:rsidRPr="00AA3FB5">
        <w:rPr>
          <w:rFonts w:ascii="Palatino Linotype" w:hAnsi="Palatino Linotype" w:cs="Times New Roman"/>
          <w:color w:val="auto"/>
          <w:sz w:val="20"/>
          <w:szCs w:val="20"/>
        </w:rPr>
        <w:t xml:space="preserve">Callejo, J. (2001). </w:t>
      </w:r>
      <w:r w:rsidRPr="00AA3FB5">
        <w:rPr>
          <w:rFonts w:ascii="Palatino Linotype" w:hAnsi="Palatino Linotype" w:cs="Times New Roman"/>
          <w:i/>
          <w:color w:val="auto"/>
          <w:sz w:val="20"/>
          <w:szCs w:val="20"/>
        </w:rPr>
        <w:t xml:space="preserve">El grupo de discusión: introducción a una práctica de investigación. </w:t>
      </w:r>
      <w:r w:rsidRPr="00BD6151">
        <w:rPr>
          <w:rFonts w:ascii="Palatino Linotype" w:hAnsi="Palatino Linotype" w:cs="Times New Roman"/>
          <w:color w:val="auto"/>
          <w:sz w:val="20"/>
          <w:szCs w:val="20"/>
        </w:rPr>
        <w:t>Barcelona:</w:t>
      </w:r>
      <w:r w:rsidRPr="00AA3FB5">
        <w:rPr>
          <w:rFonts w:ascii="Palatino Linotype" w:hAnsi="Palatino Linotype" w:cs="Times New Roman"/>
          <w:color w:val="auto"/>
          <w:sz w:val="20"/>
          <w:szCs w:val="20"/>
        </w:rPr>
        <w:t xml:space="preserve"> Ariel </w:t>
      </w:r>
      <w:proofErr w:type="spellStart"/>
      <w:r w:rsidRPr="00AA3FB5">
        <w:rPr>
          <w:rFonts w:ascii="Palatino Linotype" w:hAnsi="Palatino Linotype" w:cs="Times New Roman"/>
          <w:color w:val="auto"/>
          <w:sz w:val="20"/>
          <w:szCs w:val="20"/>
        </w:rPr>
        <w:t>Practicum</w:t>
      </w:r>
      <w:proofErr w:type="spellEnd"/>
      <w:r w:rsidRPr="00AA3FB5">
        <w:rPr>
          <w:rFonts w:ascii="Palatino Linotype" w:hAnsi="Palatino Linotype" w:cs="Times New Roman"/>
          <w:color w:val="auto"/>
          <w:sz w:val="20"/>
          <w:szCs w:val="20"/>
        </w:rPr>
        <w:t>.</w:t>
      </w:r>
    </w:p>
    <w:p w:rsidR="00AA3FB5" w:rsidRDefault="00AA3FB5" w:rsidP="00AA3FB5">
      <w:pPr>
        <w:pStyle w:val="Default"/>
        <w:ind w:left="567" w:hanging="567"/>
        <w:jc w:val="both"/>
        <w:rPr>
          <w:rFonts w:ascii="Palatino Linotype" w:hAnsi="Palatino Linotype" w:cs="Times New Roman"/>
          <w:color w:val="auto"/>
          <w:sz w:val="20"/>
          <w:szCs w:val="20"/>
        </w:rPr>
      </w:pPr>
      <w:r w:rsidRPr="00AA3FB5">
        <w:rPr>
          <w:rFonts w:ascii="Palatino Linotype" w:hAnsi="Palatino Linotype" w:cs="Times New Roman"/>
          <w:color w:val="auto"/>
          <w:sz w:val="20"/>
          <w:szCs w:val="20"/>
        </w:rPr>
        <w:t xml:space="preserve">Cano, E. </w:t>
      </w:r>
      <w:r w:rsidR="00560AF9">
        <w:rPr>
          <w:rFonts w:ascii="Palatino Linotype" w:hAnsi="Palatino Linotype" w:cs="Times New Roman"/>
          <w:color w:val="auto"/>
          <w:sz w:val="20"/>
          <w:szCs w:val="20"/>
        </w:rPr>
        <w:t>&amp;</w:t>
      </w:r>
      <w:r w:rsidRPr="00AA3FB5">
        <w:rPr>
          <w:rFonts w:ascii="Palatino Linotype" w:hAnsi="Palatino Linotype" w:cs="Times New Roman"/>
          <w:color w:val="auto"/>
          <w:sz w:val="20"/>
          <w:szCs w:val="20"/>
        </w:rPr>
        <w:t xml:space="preserve"> Fernández-Ferrer, M. (Eds.) (2016). </w:t>
      </w:r>
      <w:r w:rsidRPr="00AA3FB5">
        <w:rPr>
          <w:rFonts w:ascii="Palatino Linotype" w:hAnsi="Palatino Linotype" w:cs="Times New Roman"/>
          <w:i/>
          <w:color w:val="auto"/>
          <w:sz w:val="20"/>
          <w:szCs w:val="20"/>
        </w:rPr>
        <w:t>Evaluación por competencias: la perspectiva de las primeras promociones de graduados en el EEES</w:t>
      </w:r>
      <w:r w:rsidRPr="00AA3FB5">
        <w:rPr>
          <w:rFonts w:ascii="Palatino Linotype" w:hAnsi="Palatino Linotype" w:cs="Times New Roman"/>
          <w:color w:val="auto"/>
          <w:sz w:val="20"/>
          <w:szCs w:val="20"/>
        </w:rPr>
        <w:t xml:space="preserve">. Barcelona: Octaedro Editorial. </w:t>
      </w:r>
    </w:p>
    <w:p w:rsidR="00AA3FB5" w:rsidRPr="00AA3FB5" w:rsidRDefault="00AA3FB5" w:rsidP="00AA3FB5">
      <w:pPr>
        <w:pStyle w:val="Default"/>
        <w:ind w:left="567" w:hanging="567"/>
        <w:jc w:val="both"/>
        <w:rPr>
          <w:rFonts w:ascii="Palatino Linotype" w:hAnsi="Palatino Linotype" w:cs="Times New Roman"/>
          <w:color w:val="auto"/>
          <w:sz w:val="20"/>
          <w:szCs w:val="20"/>
        </w:rPr>
      </w:pPr>
      <w:r w:rsidRPr="00AA3FB5">
        <w:rPr>
          <w:rFonts w:ascii="Palatino Linotype" w:hAnsi="Palatino Linotype" w:cs="Times New Roman"/>
          <w:color w:val="auto"/>
          <w:sz w:val="20"/>
          <w:szCs w:val="20"/>
        </w:rPr>
        <w:t xml:space="preserve">Euler, D. (2015). Mejorar las competencias docentes del profesorado universitario es necesario, ¡pero la innovación sostenible requiere algo más!, </w:t>
      </w:r>
      <w:r w:rsidRPr="00AA3FB5">
        <w:rPr>
          <w:rFonts w:ascii="Palatino Linotype" w:hAnsi="Palatino Linotype" w:cs="Times New Roman"/>
          <w:i/>
          <w:color w:val="auto"/>
          <w:sz w:val="20"/>
          <w:szCs w:val="20"/>
        </w:rPr>
        <w:t>Educar, 51</w:t>
      </w:r>
      <w:r w:rsidRPr="00AA3FB5">
        <w:rPr>
          <w:rFonts w:ascii="Palatino Linotype" w:hAnsi="Palatino Linotype" w:cs="Times New Roman"/>
          <w:color w:val="auto"/>
          <w:sz w:val="20"/>
          <w:szCs w:val="20"/>
        </w:rPr>
        <w:t>(1), 149-165.</w:t>
      </w:r>
    </w:p>
    <w:p w:rsidR="00AA3FB5" w:rsidRPr="00D83275" w:rsidRDefault="00AA3FB5" w:rsidP="00AA3FB5">
      <w:pPr>
        <w:pStyle w:val="Default"/>
        <w:ind w:left="567" w:hanging="567"/>
        <w:jc w:val="both"/>
        <w:rPr>
          <w:rFonts w:ascii="Palatino Linotype" w:hAnsi="Palatino Linotype" w:cs="Times New Roman"/>
          <w:color w:val="auto"/>
          <w:sz w:val="20"/>
          <w:szCs w:val="20"/>
          <w:lang w:val="en-US"/>
        </w:rPr>
      </w:pPr>
      <w:proofErr w:type="spellStart"/>
      <w:r w:rsidRPr="00AA3FB5">
        <w:rPr>
          <w:rFonts w:ascii="Palatino Linotype" w:hAnsi="Palatino Linotype" w:cs="Times New Roman"/>
          <w:color w:val="auto"/>
          <w:sz w:val="20"/>
          <w:szCs w:val="20"/>
          <w:lang w:val="en-US"/>
        </w:rPr>
        <w:t>Ermenc</w:t>
      </w:r>
      <w:proofErr w:type="spellEnd"/>
      <w:r w:rsidRPr="00AA3FB5">
        <w:rPr>
          <w:rFonts w:ascii="Palatino Linotype" w:hAnsi="Palatino Linotype" w:cs="Times New Roman"/>
          <w:color w:val="auto"/>
          <w:sz w:val="20"/>
          <w:szCs w:val="20"/>
          <w:lang w:val="en-US"/>
        </w:rPr>
        <w:t>, K. S., &amp;</w:t>
      </w:r>
      <w:proofErr w:type="spellStart"/>
      <w:r w:rsidRPr="00AA3FB5">
        <w:rPr>
          <w:rFonts w:ascii="Palatino Linotype" w:hAnsi="Palatino Linotype" w:cs="Times New Roman"/>
          <w:color w:val="auto"/>
          <w:sz w:val="20"/>
          <w:szCs w:val="20"/>
          <w:lang w:val="en-US"/>
        </w:rPr>
        <w:t>Vujisic-Živkovic</w:t>
      </w:r>
      <w:proofErr w:type="spellEnd"/>
      <w:r w:rsidRPr="00AA3FB5">
        <w:rPr>
          <w:rFonts w:ascii="Palatino Linotype" w:hAnsi="Palatino Linotype" w:cs="Times New Roman"/>
          <w:color w:val="auto"/>
          <w:sz w:val="20"/>
          <w:szCs w:val="20"/>
          <w:lang w:val="en-US"/>
        </w:rPr>
        <w:t>, N. (2015).</w:t>
      </w:r>
      <w:r w:rsidRPr="00AA3FB5">
        <w:rPr>
          <w:rFonts w:ascii="Palatino Linotype" w:hAnsi="Palatino Linotype" w:cs="Times New Roman"/>
          <w:i/>
          <w:color w:val="auto"/>
          <w:sz w:val="20"/>
          <w:szCs w:val="20"/>
          <w:lang w:val="en-US"/>
        </w:rPr>
        <w:t xml:space="preserve">Competence-based approach in the education of pedagogues--comparative </w:t>
      </w:r>
      <w:proofErr w:type="spellStart"/>
      <w:r w:rsidRPr="00AA3FB5">
        <w:rPr>
          <w:rFonts w:ascii="Palatino Linotype" w:hAnsi="Palatino Linotype" w:cs="Times New Roman"/>
          <w:i/>
          <w:color w:val="auto"/>
          <w:sz w:val="20"/>
          <w:szCs w:val="20"/>
          <w:lang w:val="en-US"/>
        </w:rPr>
        <w:t>view</w:t>
      </w:r>
      <w:r w:rsidRPr="00AA3FB5">
        <w:rPr>
          <w:rFonts w:ascii="Palatino Linotype" w:hAnsi="Palatino Linotype" w:cs="Times New Roman"/>
          <w:color w:val="auto"/>
          <w:sz w:val="20"/>
          <w:szCs w:val="20"/>
          <w:lang w:val="en-US"/>
        </w:rPr>
        <w:t>.</w:t>
      </w:r>
      <w:r w:rsidRPr="00D83275">
        <w:rPr>
          <w:rFonts w:ascii="Palatino Linotype" w:hAnsi="Palatino Linotype" w:cs="Times New Roman"/>
          <w:color w:val="auto"/>
          <w:sz w:val="20"/>
          <w:szCs w:val="20"/>
          <w:lang w:val="en-US"/>
        </w:rPr>
        <w:t>Sofia</w:t>
      </w:r>
      <w:proofErr w:type="spellEnd"/>
      <w:r w:rsidRPr="00D83275">
        <w:rPr>
          <w:rFonts w:ascii="Palatino Linotype" w:hAnsi="Palatino Linotype" w:cs="Times New Roman"/>
          <w:color w:val="auto"/>
          <w:sz w:val="20"/>
          <w:szCs w:val="20"/>
          <w:lang w:val="en-US"/>
        </w:rPr>
        <w:t xml:space="preserve">: </w:t>
      </w:r>
      <w:proofErr w:type="spellStart"/>
      <w:r w:rsidRPr="00D83275">
        <w:rPr>
          <w:rFonts w:ascii="Palatino Linotype" w:hAnsi="Palatino Linotype" w:cs="Times New Roman"/>
          <w:color w:val="auto"/>
          <w:sz w:val="20"/>
          <w:szCs w:val="20"/>
          <w:lang w:val="en-US"/>
        </w:rPr>
        <w:t>BulgarianComparativeEducationSociety</w:t>
      </w:r>
      <w:proofErr w:type="spellEnd"/>
      <w:r w:rsidRPr="00D83275">
        <w:rPr>
          <w:rFonts w:ascii="Palatino Linotype" w:hAnsi="Palatino Linotype" w:cs="Times New Roman"/>
          <w:color w:val="auto"/>
          <w:sz w:val="20"/>
          <w:szCs w:val="20"/>
          <w:lang w:val="en-US"/>
        </w:rPr>
        <w:t xml:space="preserve">.  </w:t>
      </w:r>
    </w:p>
    <w:p w:rsidR="00AA3FB5" w:rsidRPr="00AA3FB5" w:rsidRDefault="00AA3FB5" w:rsidP="00AA3FB5">
      <w:pPr>
        <w:pStyle w:val="Default"/>
        <w:ind w:left="567" w:hanging="567"/>
        <w:jc w:val="both"/>
        <w:rPr>
          <w:rFonts w:ascii="Palatino Linotype" w:hAnsi="Palatino Linotype" w:cs="Times New Roman"/>
          <w:color w:val="auto"/>
          <w:sz w:val="20"/>
          <w:szCs w:val="20"/>
        </w:rPr>
      </w:pPr>
      <w:r w:rsidRPr="00AA3FB5">
        <w:rPr>
          <w:rFonts w:ascii="Palatino Linotype" w:hAnsi="Palatino Linotype" w:cs="Times New Roman"/>
          <w:color w:val="auto"/>
          <w:sz w:val="20"/>
          <w:szCs w:val="20"/>
        </w:rPr>
        <w:t xml:space="preserve">Freire, MJ., </w:t>
      </w:r>
      <w:proofErr w:type="spellStart"/>
      <w:r w:rsidRPr="00AA3FB5">
        <w:rPr>
          <w:rFonts w:ascii="Palatino Linotype" w:hAnsi="Palatino Linotype" w:cs="Times New Roman"/>
          <w:color w:val="auto"/>
          <w:sz w:val="20"/>
          <w:szCs w:val="20"/>
        </w:rPr>
        <w:t>Teijeiro</w:t>
      </w:r>
      <w:proofErr w:type="spellEnd"/>
      <w:r w:rsidRPr="00AA3FB5">
        <w:rPr>
          <w:rFonts w:ascii="Palatino Linotype" w:hAnsi="Palatino Linotype" w:cs="Times New Roman"/>
          <w:color w:val="auto"/>
          <w:sz w:val="20"/>
          <w:szCs w:val="20"/>
        </w:rPr>
        <w:t xml:space="preserve">, M. </w:t>
      </w:r>
      <w:r w:rsidR="00560AF9">
        <w:rPr>
          <w:rFonts w:ascii="Palatino Linotype" w:hAnsi="Palatino Linotype" w:cs="Times New Roman"/>
          <w:color w:val="auto"/>
          <w:sz w:val="20"/>
          <w:szCs w:val="20"/>
        </w:rPr>
        <w:t>&amp;</w:t>
      </w:r>
      <w:proofErr w:type="spellStart"/>
      <w:r w:rsidRPr="00AA3FB5">
        <w:rPr>
          <w:rFonts w:ascii="Palatino Linotype" w:hAnsi="Palatino Linotype" w:cs="Times New Roman"/>
          <w:color w:val="auto"/>
          <w:sz w:val="20"/>
          <w:szCs w:val="20"/>
        </w:rPr>
        <w:t>Pais</w:t>
      </w:r>
      <w:proofErr w:type="spellEnd"/>
      <w:r w:rsidRPr="00AA3FB5">
        <w:rPr>
          <w:rFonts w:ascii="Palatino Linotype" w:hAnsi="Palatino Linotype" w:cs="Times New Roman"/>
          <w:color w:val="auto"/>
          <w:sz w:val="20"/>
          <w:szCs w:val="20"/>
        </w:rPr>
        <w:t xml:space="preserve">, C. (2011). Políticas educativas y empleabilidad: ¿cuáles son las competencias más influyentes?, </w:t>
      </w:r>
      <w:r w:rsidRPr="00AA3FB5">
        <w:rPr>
          <w:rFonts w:ascii="Palatino Linotype" w:hAnsi="Palatino Linotype" w:cs="Times New Roman"/>
          <w:i/>
          <w:color w:val="auto"/>
          <w:sz w:val="20"/>
          <w:szCs w:val="20"/>
        </w:rPr>
        <w:t xml:space="preserve">Archivos Analíticos de políticas educativas, 19 </w:t>
      </w:r>
      <w:r w:rsidRPr="00AA3FB5">
        <w:rPr>
          <w:rFonts w:ascii="Palatino Linotype" w:hAnsi="Palatino Linotype" w:cs="Times New Roman"/>
          <w:color w:val="auto"/>
          <w:sz w:val="20"/>
          <w:szCs w:val="20"/>
        </w:rPr>
        <w:t>(8), 1-24. Recuperado de http://epaa.asu.edu/ojs/article/view/911</w:t>
      </w:r>
    </w:p>
    <w:p w:rsidR="00AA3FB5" w:rsidRPr="00AA3FB5" w:rsidRDefault="00AA3FB5" w:rsidP="00AA3FB5">
      <w:pPr>
        <w:pStyle w:val="Default"/>
        <w:ind w:left="567" w:hanging="567"/>
        <w:jc w:val="both"/>
        <w:rPr>
          <w:rFonts w:ascii="Palatino Linotype" w:hAnsi="Palatino Linotype" w:cs="Times New Roman"/>
          <w:color w:val="auto"/>
          <w:sz w:val="20"/>
          <w:szCs w:val="20"/>
          <w:lang w:val="en-US"/>
        </w:rPr>
      </w:pPr>
      <w:proofErr w:type="spellStart"/>
      <w:r w:rsidRPr="00855CFF">
        <w:rPr>
          <w:rFonts w:ascii="Palatino Linotype" w:hAnsi="Palatino Linotype" w:cs="Times New Roman"/>
          <w:color w:val="auto"/>
          <w:sz w:val="20"/>
          <w:szCs w:val="20"/>
        </w:rPr>
        <w:t>Hallinger</w:t>
      </w:r>
      <w:proofErr w:type="spellEnd"/>
      <w:r w:rsidRPr="00855CFF">
        <w:rPr>
          <w:rFonts w:ascii="Palatino Linotype" w:hAnsi="Palatino Linotype" w:cs="Times New Roman"/>
          <w:color w:val="auto"/>
          <w:sz w:val="20"/>
          <w:szCs w:val="20"/>
        </w:rPr>
        <w:t xml:space="preserve">, P., </w:t>
      </w:r>
      <w:proofErr w:type="spellStart"/>
      <w:r w:rsidRPr="00855CFF">
        <w:rPr>
          <w:rFonts w:ascii="Palatino Linotype" w:hAnsi="Palatino Linotype" w:cs="Times New Roman"/>
          <w:color w:val="auto"/>
          <w:sz w:val="20"/>
          <w:szCs w:val="20"/>
        </w:rPr>
        <w:t>Heck</w:t>
      </w:r>
      <w:proofErr w:type="spellEnd"/>
      <w:r w:rsidRPr="00855CFF">
        <w:rPr>
          <w:rFonts w:ascii="Palatino Linotype" w:hAnsi="Palatino Linotype" w:cs="Times New Roman"/>
          <w:color w:val="auto"/>
          <w:sz w:val="20"/>
          <w:szCs w:val="20"/>
        </w:rPr>
        <w:t xml:space="preserve">, R.H. </w:t>
      </w:r>
      <w:r w:rsidR="00560AF9" w:rsidRPr="00855CFF">
        <w:rPr>
          <w:rFonts w:ascii="Palatino Linotype" w:hAnsi="Palatino Linotype" w:cs="Times New Roman"/>
          <w:color w:val="auto"/>
          <w:sz w:val="20"/>
          <w:szCs w:val="20"/>
        </w:rPr>
        <w:t>&amp;</w:t>
      </w:r>
      <w:r w:rsidRPr="00855CFF">
        <w:rPr>
          <w:rFonts w:ascii="Palatino Linotype" w:hAnsi="Palatino Linotype" w:cs="Times New Roman"/>
          <w:color w:val="auto"/>
          <w:sz w:val="20"/>
          <w:szCs w:val="20"/>
        </w:rPr>
        <w:t xml:space="preserve"> Murphy, J. (2014). </w:t>
      </w:r>
      <w:r w:rsidRPr="00AA3FB5">
        <w:rPr>
          <w:rFonts w:ascii="Palatino Linotype" w:hAnsi="Palatino Linotype" w:cs="Times New Roman"/>
          <w:color w:val="auto"/>
          <w:sz w:val="20"/>
          <w:szCs w:val="20"/>
          <w:lang w:val="en-US"/>
        </w:rPr>
        <w:t xml:space="preserve">Teacher evaluation and school improvement: An analysis of the evidence, </w:t>
      </w:r>
      <w:r w:rsidRPr="00AA3FB5">
        <w:rPr>
          <w:rFonts w:ascii="Palatino Linotype" w:hAnsi="Palatino Linotype" w:cs="Times New Roman"/>
          <w:i/>
          <w:color w:val="auto"/>
          <w:sz w:val="20"/>
          <w:szCs w:val="20"/>
          <w:lang w:val="en-US"/>
        </w:rPr>
        <w:t>Educational Assessment, Evaluation and Accountability, 26</w:t>
      </w:r>
      <w:r w:rsidRPr="00AA3FB5">
        <w:rPr>
          <w:rFonts w:ascii="Palatino Linotype" w:hAnsi="Palatino Linotype" w:cs="Times New Roman"/>
          <w:color w:val="auto"/>
          <w:sz w:val="20"/>
          <w:szCs w:val="20"/>
          <w:lang w:val="en-US"/>
        </w:rPr>
        <w:t xml:space="preserve"> (1), 5-28.</w:t>
      </w:r>
    </w:p>
    <w:p w:rsidR="00AA3FB5" w:rsidRPr="00AA3FB5" w:rsidRDefault="00092E41" w:rsidP="00AA3FB5">
      <w:pPr>
        <w:pStyle w:val="Default"/>
        <w:ind w:left="567" w:hanging="567"/>
        <w:jc w:val="both"/>
        <w:rPr>
          <w:rFonts w:ascii="Palatino Linotype" w:hAnsi="Palatino Linotype" w:cs="Times New Roman"/>
          <w:color w:val="auto"/>
          <w:sz w:val="20"/>
          <w:szCs w:val="20"/>
        </w:rPr>
      </w:pPr>
      <w:r>
        <w:rPr>
          <w:rFonts w:ascii="Palatino Linotype" w:hAnsi="Palatino Linotype" w:cs="Times New Roman"/>
          <w:color w:val="auto"/>
          <w:sz w:val="20"/>
          <w:szCs w:val="20"/>
        </w:rPr>
        <w:t>Autores</w:t>
      </w:r>
      <w:r w:rsidR="00AA3FB5" w:rsidRPr="00461200">
        <w:rPr>
          <w:rFonts w:ascii="Palatino Linotype" w:hAnsi="Palatino Linotype" w:cs="Times New Roman"/>
          <w:color w:val="auto"/>
          <w:sz w:val="20"/>
          <w:szCs w:val="20"/>
        </w:rPr>
        <w:t>. (</w:t>
      </w:r>
      <w:r w:rsidR="00AA3FB5" w:rsidRPr="00AA3FB5">
        <w:rPr>
          <w:rFonts w:ascii="Palatino Linotype" w:hAnsi="Palatino Linotype" w:cs="Times New Roman"/>
          <w:color w:val="auto"/>
          <w:sz w:val="20"/>
          <w:szCs w:val="20"/>
        </w:rPr>
        <w:t xml:space="preserve">). El enfoque de competencias en la formación universitaria y su impacto en la evaluación. Una aproximación a la perspectiva de un grupo de profesionales expertos en pedagogía, </w:t>
      </w:r>
      <w:r w:rsidR="00AA3FB5" w:rsidRPr="00AA3FB5">
        <w:rPr>
          <w:rFonts w:ascii="Palatino Linotype" w:hAnsi="Palatino Linotype" w:cs="Times New Roman"/>
          <w:i/>
          <w:color w:val="auto"/>
          <w:sz w:val="20"/>
          <w:szCs w:val="20"/>
        </w:rPr>
        <w:t>Formación Universitaria 9</w:t>
      </w:r>
      <w:r w:rsidR="00AA3FB5" w:rsidRPr="00AA3FB5">
        <w:rPr>
          <w:rFonts w:ascii="Palatino Linotype" w:hAnsi="Palatino Linotype" w:cs="Times New Roman"/>
          <w:color w:val="auto"/>
          <w:sz w:val="20"/>
          <w:szCs w:val="20"/>
        </w:rPr>
        <w:t xml:space="preserve"> (4), 11-22.</w:t>
      </w:r>
    </w:p>
    <w:p w:rsidR="00AA3FB5" w:rsidRDefault="00AA3FB5" w:rsidP="00AA3FB5">
      <w:pPr>
        <w:pStyle w:val="Default"/>
        <w:ind w:left="567" w:hanging="567"/>
        <w:jc w:val="both"/>
        <w:rPr>
          <w:rFonts w:ascii="Palatino Linotype" w:hAnsi="Palatino Linotype" w:cs="Times New Roman"/>
          <w:color w:val="auto"/>
          <w:sz w:val="20"/>
          <w:szCs w:val="20"/>
          <w:lang w:val="en-US"/>
        </w:rPr>
      </w:pPr>
      <w:r w:rsidRPr="00AA3FB5">
        <w:rPr>
          <w:rFonts w:ascii="Palatino Linotype" w:hAnsi="Palatino Linotype" w:cs="Times New Roman"/>
          <w:color w:val="auto"/>
          <w:sz w:val="20"/>
          <w:szCs w:val="20"/>
        </w:rPr>
        <w:t xml:space="preserve">Lozano, F. J., </w:t>
      </w:r>
      <w:proofErr w:type="spellStart"/>
      <w:r w:rsidRPr="00AA3FB5">
        <w:rPr>
          <w:rFonts w:ascii="Palatino Linotype" w:hAnsi="Palatino Linotype" w:cs="Times New Roman"/>
          <w:color w:val="auto"/>
          <w:sz w:val="20"/>
          <w:szCs w:val="20"/>
        </w:rPr>
        <w:t>Boni</w:t>
      </w:r>
      <w:proofErr w:type="spellEnd"/>
      <w:r w:rsidRPr="00AA3FB5">
        <w:rPr>
          <w:rFonts w:ascii="Palatino Linotype" w:hAnsi="Palatino Linotype" w:cs="Times New Roman"/>
          <w:color w:val="auto"/>
          <w:sz w:val="20"/>
          <w:szCs w:val="20"/>
        </w:rPr>
        <w:t xml:space="preserve">, A., Peris, J., &amp; Hueso, A. (2012). </w:t>
      </w:r>
      <w:r w:rsidRPr="00AA3FB5">
        <w:rPr>
          <w:rFonts w:ascii="Palatino Linotype" w:hAnsi="Palatino Linotype" w:cs="Times New Roman"/>
          <w:color w:val="auto"/>
          <w:sz w:val="20"/>
          <w:szCs w:val="20"/>
          <w:lang w:val="en-US"/>
        </w:rPr>
        <w:t xml:space="preserve">Competencies in higher education: A critical analysis from the capabilities approach, </w:t>
      </w:r>
      <w:r w:rsidRPr="00AA3FB5">
        <w:rPr>
          <w:rFonts w:ascii="Palatino Linotype" w:hAnsi="Palatino Linotype" w:cs="Times New Roman"/>
          <w:i/>
          <w:color w:val="auto"/>
          <w:sz w:val="20"/>
          <w:szCs w:val="20"/>
          <w:lang w:val="en-US"/>
        </w:rPr>
        <w:t xml:space="preserve">Journal of Philosophy of Education, 46 </w:t>
      </w:r>
      <w:r w:rsidRPr="00AA3FB5">
        <w:rPr>
          <w:rFonts w:ascii="Palatino Linotype" w:hAnsi="Palatino Linotype" w:cs="Times New Roman"/>
          <w:color w:val="auto"/>
          <w:sz w:val="20"/>
          <w:szCs w:val="20"/>
          <w:lang w:val="en-US"/>
        </w:rPr>
        <w:t>(1), 132-147.</w:t>
      </w:r>
    </w:p>
    <w:p w:rsidR="000F3BBA" w:rsidRPr="000F3BBA" w:rsidRDefault="000F3BBA" w:rsidP="00AA3FB5">
      <w:pPr>
        <w:pStyle w:val="Default"/>
        <w:ind w:left="567" w:hanging="567"/>
        <w:jc w:val="both"/>
        <w:rPr>
          <w:rFonts w:ascii="Palatino Linotype" w:hAnsi="Palatino Linotype" w:cs="Times New Roman"/>
          <w:color w:val="auto"/>
          <w:sz w:val="20"/>
          <w:szCs w:val="20"/>
        </w:rPr>
      </w:pPr>
      <w:r w:rsidRPr="0091330C">
        <w:rPr>
          <w:rStyle w:val="A2"/>
          <w:rFonts w:ascii="Palatino Linotype" w:hAnsi="Palatino Linotype"/>
          <w:sz w:val="20"/>
          <w:szCs w:val="20"/>
        </w:rPr>
        <w:t>Medina, A.</w:t>
      </w:r>
      <w:r>
        <w:rPr>
          <w:rStyle w:val="A2"/>
          <w:rFonts w:ascii="Palatino Linotype" w:hAnsi="Palatino Linotype"/>
          <w:sz w:val="20"/>
          <w:szCs w:val="20"/>
        </w:rPr>
        <w:t>,</w:t>
      </w:r>
      <w:r w:rsidRPr="0091330C">
        <w:rPr>
          <w:rStyle w:val="A2"/>
          <w:rFonts w:ascii="Palatino Linotype" w:hAnsi="Palatino Linotype"/>
          <w:sz w:val="20"/>
          <w:szCs w:val="20"/>
        </w:rPr>
        <w:t xml:space="preserve"> Domínguez, M. C.</w:t>
      </w:r>
      <w:r>
        <w:rPr>
          <w:rStyle w:val="A2"/>
          <w:rFonts w:ascii="Palatino Linotype" w:hAnsi="Palatino Linotype"/>
          <w:sz w:val="20"/>
          <w:szCs w:val="20"/>
        </w:rPr>
        <w:t>, &amp;</w:t>
      </w:r>
      <w:r w:rsidRPr="0091330C">
        <w:rPr>
          <w:rStyle w:val="A2"/>
          <w:rFonts w:ascii="Palatino Linotype" w:hAnsi="Palatino Linotype"/>
          <w:sz w:val="20"/>
          <w:szCs w:val="20"/>
        </w:rPr>
        <w:t xml:space="preserve"> Sánchez, C. (2013). Evaluación de las competencias de los estudiantes: modelos y técnicas para la valoración</w:t>
      </w:r>
      <w:r w:rsidR="00B819D8">
        <w:rPr>
          <w:rStyle w:val="A2"/>
          <w:rFonts w:ascii="Palatino Linotype" w:hAnsi="Palatino Linotype"/>
          <w:sz w:val="20"/>
          <w:szCs w:val="20"/>
        </w:rPr>
        <w:t>,</w:t>
      </w:r>
      <w:r w:rsidRPr="0091330C">
        <w:rPr>
          <w:rStyle w:val="A2"/>
          <w:rFonts w:ascii="Palatino Linotype" w:hAnsi="Palatino Linotype"/>
          <w:sz w:val="20"/>
          <w:szCs w:val="20"/>
        </w:rPr>
        <w:t xml:space="preserve"> </w:t>
      </w:r>
      <w:r w:rsidRPr="0091330C">
        <w:rPr>
          <w:rStyle w:val="A2"/>
          <w:rFonts w:ascii="Palatino Linotype" w:hAnsi="Palatino Linotype"/>
          <w:i/>
          <w:iCs/>
          <w:sz w:val="20"/>
          <w:szCs w:val="20"/>
        </w:rPr>
        <w:t xml:space="preserve">Revista de Investigación Educativa, 31 </w:t>
      </w:r>
      <w:r w:rsidRPr="0091330C">
        <w:rPr>
          <w:rStyle w:val="A2"/>
          <w:rFonts w:ascii="Palatino Linotype" w:hAnsi="Palatino Linotype"/>
          <w:sz w:val="20"/>
          <w:szCs w:val="20"/>
        </w:rPr>
        <w:t>(1), 239-255.</w:t>
      </w:r>
    </w:p>
    <w:p w:rsidR="000F3BBA" w:rsidRDefault="00AA3FB5" w:rsidP="000F3BBA">
      <w:pPr>
        <w:pStyle w:val="Default"/>
        <w:ind w:left="567" w:hanging="567"/>
        <w:jc w:val="both"/>
        <w:rPr>
          <w:rFonts w:ascii="Palatino Linotype" w:hAnsi="Palatino Linotype" w:cs="Times New Roman"/>
          <w:color w:val="auto"/>
          <w:sz w:val="20"/>
          <w:szCs w:val="20"/>
          <w:lang w:val="en-US"/>
        </w:rPr>
      </w:pPr>
      <w:r w:rsidRPr="00AA3FB5">
        <w:rPr>
          <w:rFonts w:ascii="Palatino Linotype" w:hAnsi="Palatino Linotype" w:cs="Times New Roman"/>
          <w:color w:val="auto"/>
          <w:sz w:val="20"/>
          <w:szCs w:val="20"/>
        </w:rPr>
        <w:t xml:space="preserve">Miguel de, R. &amp; Lázaro de,  M.L. (2016). </w:t>
      </w:r>
      <w:r w:rsidRPr="00AA3FB5">
        <w:rPr>
          <w:rFonts w:ascii="Palatino Linotype" w:hAnsi="Palatino Linotype" w:cs="Times New Roman"/>
          <w:color w:val="auto"/>
          <w:sz w:val="20"/>
          <w:szCs w:val="20"/>
          <w:lang w:val="en-US"/>
        </w:rPr>
        <w:t xml:space="preserve">Educating geographers in </w:t>
      </w:r>
      <w:proofErr w:type="spellStart"/>
      <w:r w:rsidRPr="00AA3FB5">
        <w:rPr>
          <w:rFonts w:ascii="Palatino Linotype" w:hAnsi="Palatino Linotype" w:cs="Times New Roman"/>
          <w:color w:val="auto"/>
          <w:sz w:val="20"/>
          <w:szCs w:val="20"/>
          <w:lang w:val="en-US"/>
        </w:rPr>
        <w:t>spain</w:t>
      </w:r>
      <w:proofErr w:type="spellEnd"/>
      <w:r w:rsidRPr="00AA3FB5">
        <w:rPr>
          <w:rFonts w:ascii="Palatino Linotype" w:hAnsi="Palatino Linotype" w:cs="Times New Roman"/>
          <w:color w:val="auto"/>
          <w:sz w:val="20"/>
          <w:szCs w:val="20"/>
          <w:lang w:val="en-US"/>
        </w:rPr>
        <w:t xml:space="preserve">: Geography teaching renewal by implementing the </w:t>
      </w:r>
      <w:proofErr w:type="spellStart"/>
      <w:r w:rsidRPr="00AA3FB5">
        <w:rPr>
          <w:rFonts w:ascii="Palatino Linotype" w:hAnsi="Palatino Linotype" w:cs="Times New Roman"/>
          <w:color w:val="auto"/>
          <w:sz w:val="20"/>
          <w:szCs w:val="20"/>
          <w:lang w:val="en-US"/>
        </w:rPr>
        <w:t>european</w:t>
      </w:r>
      <w:proofErr w:type="spellEnd"/>
      <w:r w:rsidRPr="00AA3FB5">
        <w:rPr>
          <w:rFonts w:ascii="Palatino Linotype" w:hAnsi="Palatino Linotype" w:cs="Times New Roman"/>
          <w:color w:val="auto"/>
          <w:sz w:val="20"/>
          <w:szCs w:val="20"/>
          <w:lang w:val="en-US"/>
        </w:rPr>
        <w:t xml:space="preserve"> higher education </w:t>
      </w:r>
      <w:proofErr w:type="spellStart"/>
      <w:r w:rsidRPr="00AA3FB5">
        <w:rPr>
          <w:rFonts w:ascii="Palatino Linotype" w:hAnsi="Palatino Linotype" w:cs="Times New Roman"/>
          <w:color w:val="auto"/>
          <w:sz w:val="20"/>
          <w:szCs w:val="20"/>
          <w:lang w:val="en-US"/>
        </w:rPr>
        <w:t>área</w:t>
      </w:r>
      <w:proofErr w:type="spellEnd"/>
      <w:r w:rsidRPr="00AA3FB5">
        <w:rPr>
          <w:rFonts w:ascii="Palatino Linotype" w:hAnsi="Palatino Linotype" w:cs="Times New Roman"/>
          <w:i/>
          <w:color w:val="auto"/>
          <w:sz w:val="20"/>
          <w:szCs w:val="20"/>
          <w:lang w:val="en-US"/>
        </w:rPr>
        <w:t xml:space="preserve">, Journal of Geography in Higher Education, 40 </w:t>
      </w:r>
      <w:r w:rsidRPr="00AA3FB5">
        <w:rPr>
          <w:rFonts w:ascii="Palatino Linotype" w:hAnsi="Palatino Linotype" w:cs="Times New Roman"/>
          <w:color w:val="auto"/>
          <w:sz w:val="20"/>
          <w:szCs w:val="20"/>
          <w:lang w:val="en-US"/>
        </w:rPr>
        <w:t>(2), 267-283.</w:t>
      </w:r>
    </w:p>
    <w:p w:rsidR="000F3BBA" w:rsidRPr="00B819D8" w:rsidRDefault="000F3BBA" w:rsidP="00AA3FB5">
      <w:pPr>
        <w:pStyle w:val="Default"/>
        <w:ind w:left="567" w:hanging="567"/>
        <w:jc w:val="both"/>
        <w:rPr>
          <w:rFonts w:ascii="Palatino Linotype" w:hAnsi="Palatino Linotype" w:cs="Times New Roman"/>
          <w:color w:val="auto"/>
          <w:sz w:val="20"/>
          <w:szCs w:val="20"/>
        </w:rPr>
      </w:pPr>
      <w:r w:rsidRPr="000F3BBA">
        <w:rPr>
          <w:rFonts w:ascii="Palatino Linotype" w:hAnsi="Palatino Linotype" w:cs="ArialNarrow"/>
          <w:sz w:val="20"/>
          <w:szCs w:val="20"/>
          <w:lang w:eastAsia="es-ES"/>
        </w:rPr>
        <w:t>Navarro, I.; González, C.; López, B.</w:t>
      </w:r>
      <w:r>
        <w:rPr>
          <w:rFonts w:ascii="Palatino Linotype" w:hAnsi="Palatino Linotype" w:cs="ArialNarrow"/>
          <w:sz w:val="20"/>
          <w:szCs w:val="20"/>
          <w:lang w:eastAsia="es-ES"/>
        </w:rPr>
        <w:t>, &amp;</w:t>
      </w:r>
      <w:r w:rsidRPr="000F3BBA">
        <w:rPr>
          <w:rFonts w:ascii="Palatino Linotype" w:hAnsi="Palatino Linotype" w:cs="ArialNarrow"/>
          <w:sz w:val="20"/>
          <w:szCs w:val="20"/>
          <w:lang w:eastAsia="es-ES"/>
        </w:rPr>
        <w:t xml:space="preserve"> Botella, P. (2015). Aprendizaje</w:t>
      </w:r>
      <w:r>
        <w:rPr>
          <w:rFonts w:ascii="Palatino Linotype" w:hAnsi="Palatino Linotype" w:cs="ArialNarrow"/>
          <w:sz w:val="20"/>
          <w:szCs w:val="20"/>
          <w:lang w:eastAsia="es-ES"/>
        </w:rPr>
        <w:t xml:space="preserve"> d</w:t>
      </w:r>
      <w:r w:rsidRPr="000F3BBA">
        <w:rPr>
          <w:rFonts w:ascii="Palatino Linotype" w:hAnsi="Palatino Linotype" w:cs="ArialNarrow"/>
          <w:sz w:val="20"/>
          <w:szCs w:val="20"/>
          <w:lang w:eastAsia="es-ES"/>
        </w:rPr>
        <w:t>e contenidos académicos y desarrollo de competencias profesionales mediante prácticas didácticas centradas en el trabajo cooperativo y relaciones multidisciplinares</w:t>
      </w:r>
      <w:r w:rsidR="00B819D8">
        <w:rPr>
          <w:rFonts w:ascii="Palatino Linotype" w:hAnsi="Palatino Linotype" w:cs="ArialNarrow"/>
          <w:sz w:val="20"/>
          <w:szCs w:val="20"/>
          <w:lang w:eastAsia="es-ES"/>
        </w:rPr>
        <w:t>,</w:t>
      </w:r>
      <w:r w:rsidRPr="000F3BBA">
        <w:rPr>
          <w:rFonts w:ascii="Palatino Linotype" w:hAnsi="Palatino Linotype" w:cs="ArialNarrow"/>
          <w:sz w:val="20"/>
          <w:szCs w:val="20"/>
          <w:lang w:eastAsia="es-ES"/>
        </w:rPr>
        <w:t xml:space="preserve"> </w:t>
      </w:r>
      <w:r w:rsidRPr="00B819D8">
        <w:rPr>
          <w:rFonts w:ascii="Palatino Linotype" w:hAnsi="Palatino Linotype" w:cs="ArialNarrow-Italic"/>
          <w:i/>
          <w:iCs/>
          <w:sz w:val="20"/>
          <w:szCs w:val="20"/>
          <w:lang w:eastAsia="es-ES"/>
        </w:rPr>
        <w:t>Revista de Investigación Educativa</w:t>
      </w:r>
      <w:r w:rsidRPr="00B819D8">
        <w:rPr>
          <w:rFonts w:ascii="Palatino Linotype" w:hAnsi="Palatino Linotype" w:cs="ArialNarrow"/>
          <w:sz w:val="20"/>
          <w:szCs w:val="20"/>
          <w:lang w:eastAsia="es-ES"/>
        </w:rPr>
        <w:t xml:space="preserve">, </w:t>
      </w:r>
      <w:r w:rsidRPr="00B819D8">
        <w:rPr>
          <w:rFonts w:ascii="Palatino Linotype" w:hAnsi="Palatino Linotype" w:cs="ArialNarrow-Italic"/>
          <w:i/>
          <w:iCs/>
          <w:sz w:val="20"/>
          <w:szCs w:val="20"/>
          <w:lang w:eastAsia="es-ES"/>
        </w:rPr>
        <w:t>33</w:t>
      </w:r>
      <w:r w:rsidRPr="00B819D8">
        <w:rPr>
          <w:rFonts w:ascii="Palatino Linotype" w:hAnsi="Palatino Linotype" w:cs="ArialNarrow"/>
          <w:sz w:val="20"/>
          <w:szCs w:val="20"/>
          <w:lang w:eastAsia="es-ES"/>
        </w:rPr>
        <w:t>(1), 99-117.</w:t>
      </w:r>
    </w:p>
    <w:p w:rsidR="00AA3FB5" w:rsidRPr="00AA3FB5" w:rsidRDefault="00AA3FB5" w:rsidP="00AA3FB5">
      <w:pPr>
        <w:pStyle w:val="Default"/>
        <w:ind w:left="567" w:hanging="567"/>
        <w:jc w:val="both"/>
        <w:rPr>
          <w:rFonts w:ascii="Palatino Linotype" w:hAnsi="Palatino Linotype" w:cs="Times New Roman"/>
          <w:color w:val="auto"/>
          <w:sz w:val="20"/>
          <w:szCs w:val="20"/>
          <w:lang w:val="en-US"/>
        </w:rPr>
      </w:pPr>
      <w:r w:rsidRPr="00D83275">
        <w:rPr>
          <w:rFonts w:ascii="Palatino Linotype" w:hAnsi="Palatino Linotype" w:cs="Times New Roman"/>
          <w:color w:val="auto"/>
          <w:sz w:val="20"/>
          <w:szCs w:val="20"/>
          <w:lang w:val="en-US"/>
        </w:rPr>
        <w:t>Parris, M., &amp;</w:t>
      </w:r>
      <w:proofErr w:type="spellStart"/>
      <w:r w:rsidRPr="00D83275">
        <w:rPr>
          <w:rFonts w:ascii="Palatino Linotype" w:hAnsi="Palatino Linotype" w:cs="Times New Roman"/>
          <w:color w:val="auto"/>
          <w:sz w:val="20"/>
          <w:szCs w:val="20"/>
          <w:lang w:val="en-US"/>
        </w:rPr>
        <w:t>Saville</w:t>
      </w:r>
      <w:proofErr w:type="spellEnd"/>
      <w:r w:rsidRPr="00D83275">
        <w:rPr>
          <w:rFonts w:ascii="Palatino Linotype" w:hAnsi="Palatino Linotype" w:cs="Times New Roman"/>
          <w:color w:val="auto"/>
          <w:sz w:val="20"/>
          <w:szCs w:val="20"/>
          <w:lang w:val="en-US"/>
        </w:rPr>
        <w:t xml:space="preserve">, K. (2011). </w:t>
      </w:r>
      <w:r w:rsidRPr="00AA3FB5">
        <w:rPr>
          <w:rFonts w:ascii="Palatino Linotype" w:hAnsi="Palatino Linotype" w:cs="Times New Roman"/>
          <w:color w:val="auto"/>
          <w:sz w:val="20"/>
          <w:szCs w:val="20"/>
          <w:lang w:val="en-US"/>
        </w:rPr>
        <w:t xml:space="preserve">Piecing together the puzzle of graduate employment: Factors that shape the graduate work expectations of human resource management students, </w:t>
      </w:r>
      <w:r w:rsidRPr="00B819D8">
        <w:rPr>
          <w:rFonts w:ascii="Palatino Linotype" w:hAnsi="Palatino Linotype" w:cs="Times New Roman"/>
          <w:i/>
          <w:color w:val="auto"/>
          <w:sz w:val="20"/>
          <w:szCs w:val="20"/>
          <w:lang w:val="en-US"/>
        </w:rPr>
        <w:t>Industry and Higher Education, 25</w:t>
      </w:r>
      <w:r w:rsidRPr="00AA3FB5">
        <w:rPr>
          <w:rFonts w:ascii="Palatino Linotype" w:hAnsi="Palatino Linotype" w:cs="Times New Roman"/>
          <w:color w:val="auto"/>
          <w:sz w:val="20"/>
          <w:szCs w:val="20"/>
          <w:lang w:val="en-US"/>
        </w:rPr>
        <w:t>(1), 15-24.</w:t>
      </w:r>
    </w:p>
    <w:p w:rsidR="00AA3FB5" w:rsidRPr="00AA3FB5" w:rsidRDefault="00AA3FB5" w:rsidP="00AA3FB5">
      <w:pPr>
        <w:pStyle w:val="Default"/>
        <w:ind w:left="567" w:hanging="567"/>
        <w:jc w:val="both"/>
        <w:rPr>
          <w:rFonts w:ascii="Palatino Linotype" w:hAnsi="Palatino Linotype" w:cs="Times New Roman"/>
          <w:color w:val="auto"/>
          <w:sz w:val="20"/>
          <w:szCs w:val="20"/>
        </w:rPr>
      </w:pPr>
      <w:proofErr w:type="spellStart"/>
      <w:r w:rsidRPr="00AA3FB5">
        <w:rPr>
          <w:rFonts w:ascii="Palatino Linotype" w:hAnsi="Palatino Linotype" w:cs="Times New Roman"/>
          <w:color w:val="auto"/>
          <w:sz w:val="20"/>
          <w:szCs w:val="20"/>
        </w:rPr>
        <w:t>Perrenoud</w:t>
      </w:r>
      <w:proofErr w:type="spellEnd"/>
      <w:r w:rsidRPr="00AA3FB5">
        <w:rPr>
          <w:rFonts w:ascii="Palatino Linotype" w:hAnsi="Palatino Linotype" w:cs="Times New Roman"/>
          <w:color w:val="auto"/>
          <w:sz w:val="20"/>
          <w:szCs w:val="20"/>
        </w:rPr>
        <w:t xml:space="preserve">, P. (2008). Construir las Competencias, ¿Es darle la espalda a los saberes?, </w:t>
      </w:r>
      <w:proofErr w:type="spellStart"/>
      <w:r w:rsidRPr="00AA3FB5">
        <w:rPr>
          <w:rFonts w:ascii="Palatino Linotype" w:hAnsi="Palatino Linotype" w:cs="Times New Roman"/>
          <w:i/>
          <w:color w:val="auto"/>
          <w:sz w:val="20"/>
          <w:szCs w:val="20"/>
        </w:rPr>
        <w:t>RedU</w:t>
      </w:r>
      <w:proofErr w:type="spellEnd"/>
      <w:r w:rsidRPr="00AA3FB5">
        <w:rPr>
          <w:rFonts w:ascii="Palatino Linotype" w:hAnsi="Palatino Linotype" w:cs="Times New Roman"/>
          <w:i/>
          <w:color w:val="auto"/>
          <w:sz w:val="20"/>
          <w:szCs w:val="20"/>
        </w:rPr>
        <w:t xml:space="preserve">. Revista de Docencia Universitaria, 6 </w:t>
      </w:r>
      <w:r w:rsidRPr="00AA3FB5">
        <w:rPr>
          <w:rFonts w:ascii="Palatino Linotype" w:hAnsi="Palatino Linotype" w:cs="Times New Roman"/>
          <w:color w:val="auto"/>
          <w:sz w:val="20"/>
          <w:szCs w:val="20"/>
        </w:rPr>
        <w:t xml:space="preserve">(2), 1-16. </w:t>
      </w:r>
    </w:p>
    <w:p w:rsidR="00AA3FB5" w:rsidRPr="00AA3FB5" w:rsidRDefault="00AA3FB5" w:rsidP="00AA3FB5">
      <w:pPr>
        <w:pStyle w:val="Default"/>
        <w:ind w:left="567" w:hanging="567"/>
        <w:jc w:val="both"/>
        <w:rPr>
          <w:rFonts w:ascii="Palatino Linotype" w:hAnsi="Palatino Linotype" w:cs="Times New Roman"/>
          <w:color w:val="auto"/>
          <w:sz w:val="20"/>
          <w:szCs w:val="20"/>
        </w:rPr>
      </w:pPr>
      <w:r w:rsidRPr="00AA3FB5">
        <w:rPr>
          <w:rFonts w:ascii="Palatino Linotype" w:hAnsi="Palatino Linotype" w:cs="Times New Roman"/>
          <w:color w:val="auto"/>
          <w:sz w:val="20"/>
          <w:szCs w:val="20"/>
        </w:rPr>
        <w:t xml:space="preserve">Pozo, C. </w:t>
      </w:r>
      <w:r w:rsidR="00560AF9">
        <w:rPr>
          <w:rFonts w:ascii="Palatino Linotype" w:hAnsi="Palatino Linotype" w:cs="Times New Roman"/>
          <w:color w:val="auto"/>
          <w:sz w:val="20"/>
          <w:szCs w:val="20"/>
        </w:rPr>
        <w:t>&amp;</w:t>
      </w:r>
      <w:r w:rsidRPr="00AA3FB5">
        <w:rPr>
          <w:rFonts w:ascii="Palatino Linotype" w:hAnsi="Palatino Linotype" w:cs="Times New Roman"/>
          <w:color w:val="auto"/>
          <w:sz w:val="20"/>
          <w:szCs w:val="20"/>
        </w:rPr>
        <w:t xml:space="preserve"> Bretones, B. (2015).  Dificultades y retos en la implantación de los títulos de grado en las universidades españolas, </w:t>
      </w:r>
      <w:r w:rsidRPr="00AA3FB5">
        <w:rPr>
          <w:rFonts w:ascii="Palatino Linotype" w:hAnsi="Palatino Linotype" w:cs="Times New Roman"/>
          <w:i/>
          <w:color w:val="auto"/>
          <w:sz w:val="20"/>
          <w:szCs w:val="20"/>
        </w:rPr>
        <w:t>Revista de Educación,  267</w:t>
      </w:r>
      <w:r w:rsidRPr="00AA3FB5">
        <w:rPr>
          <w:rFonts w:ascii="Palatino Linotype" w:hAnsi="Palatino Linotype" w:cs="Times New Roman"/>
          <w:color w:val="auto"/>
          <w:sz w:val="20"/>
          <w:szCs w:val="20"/>
        </w:rPr>
        <w:t>, 147-172.</w:t>
      </w:r>
    </w:p>
    <w:p w:rsidR="00AA3FB5" w:rsidRPr="00AA3FB5" w:rsidRDefault="00AA3FB5" w:rsidP="00AA3FB5">
      <w:pPr>
        <w:pStyle w:val="Default"/>
        <w:ind w:left="567" w:hanging="567"/>
        <w:jc w:val="both"/>
        <w:rPr>
          <w:rFonts w:ascii="Palatino Linotype" w:hAnsi="Palatino Linotype" w:cs="Times New Roman"/>
          <w:color w:val="auto"/>
          <w:sz w:val="20"/>
          <w:szCs w:val="20"/>
          <w:lang w:val="en-US"/>
        </w:rPr>
      </w:pPr>
      <w:proofErr w:type="spellStart"/>
      <w:r w:rsidRPr="00AA3FB5">
        <w:rPr>
          <w:rFonts w:ascii="Palatino Linotype" w:hAnsi="Palatino Linotype" w:cs="Times New Roman"/>
          <w:color w:val="auto"/>
          <w:sz w:val="20"/>
          <w:szCs w:val="20"/>
          <w:lang w:val="en-US"/>
        </w:rPr>
        <w:lastRenderedPageBreak/>
        <w:t>Rutt</w:t>
      </w:r>
      <w:proofErr w:type="spellEnd"/>
      <w:r w:rsidRPr="00AA3FB5">
        <w:rPr>
          <w:rFonts w:ascii="Palatino Linotype" w:hAnsi="Palatino Linotype" w:cs="Times New Roman"/>
          <w:color w:val="auto"/>
          <w:sz w:val="20"/>
          <w:szCs w:val="20"/>
          <w:lang w:val="en-US"/>
        </w:rPr>
        <w:t xml:space="preserve">, L., Gray, C., Turner, R., Swain, J., </w:t>
      </w:r>
      <w:proofErr w:type="spellStart"/>
      <w:r w:rsidRPr="00AA3FB5">
        <w:rPr>
          <w:rFonts w:ascii="Palatino Linotype" w:hAnsi="Palatino Linotype" w:cs="Times New Roman"/>
          <w:color w:val="auto"/>
          <w:sz w:val="20"/>
          <w:szCs w:val="20"/>
          <w:lang w:val="en-US"/>
        </w:rPr>
        <w:t>Hulme</w:t>
      </w:r>
      <w:proofErr w:type="spellEnd"/>
      <w:r w:rsidRPr="00AA3FB5">
        <w:rPr>
          <w:rFonts w:ascii="Palatino Linotype" w:hAnsi="Palatino Linotype" w:cs="Times New Roman"/>
          <w:color w:val="auto"/>
          <w:sz w:val="20"/>
          <w:szCs w:val="20"/>
          <w:lang w:val="en-US"/>
        </w:rPr>
        <w:t>, S., &amp;</w:t>
      </w:r>
      <w:proofErr w:type="spellStart"/>
      <w:r w:rsidRPr="00AA3FB5">
        <w:rPr>
          <w:rFonts w:ascii="Palatino Linotype" w:hAnsi="Palatino Linotype" w:cs="Times New Roman"/>
          <w:color w:val="auto"/>
          <w:sz w:val="20"/>
          <w:szCs w:val="20"/>
          <w:lang w:val="en-US"/>
        </w:rPr>
        <w:t>Pomero</w:t>
      </w:r>
      <w:proofErr w:type="spellEnd"/>
      <w:r w:rsidRPr="00AA3FB5">
        <w:rPr>
          <w:rFonts w:ascii="Palatino Linotype" w:hAnsi="Palatino Linotype" w:cs="Times New Roman"/>
          <w:color w:val="auto"/>
          <w:sz w:val="20"/>
          <w:szCs w:val="20"/>
          <w:lang w:val="en-US"/>
        </w:rPr>
        <w:t xml:space="preserve">, R. (2013). A social  constructivist approach to introducing skills for employment to foundation degree students, </w:t>
      </w:r>
      <w:r w:rsidRPr="00AA3FB5">
        <w:rPr>
          <w:rFonts w:ascii="Palatino Linotype" w:hAnsi="Palatino Linotype" w:cs="Times New Roman"/>
          <w:i/>
          <w:color w:val="auto"/>
          <w:sz w:val="20"/>
          <w:szCs w:val="20"/>
          <w:lang w:val="en-US"/>
        </w:rPr>
        <w:t xml:space="preserve">Research in Post-Compulsory Education, 18 </w:t>
      </w:r>
      <w:r w:rsidRPr="00AA3FB5">
        <w:rPr>
          <w:rFonts w:ascii="Palatino Linotype" w:hAnsi="Palatino Linotype" w:cs="Times New Roman"/>
          <w:color w:val="auto"/>
          <w:sz w:val="20"/>
          <w:szCs w:val="20"/>
          <w:lang w:val="en-US"/>
        </w:rPr>
        <w:t>(3), 280-296.</w:t>
      </w:r>
    </w:p>
    <w:p w:rsidR="00AA3FB5" w:rsidRPr="00AA3FB5" w:rsidRDefault="00AA3FB5" w:rsidP="00AA3FB5">
      <w:pPr>
        <w:pStyle w:val="Default"/>
        <w:ind w:left="567" w:hanging="567"/>
        <w:jc w:val="both"/>
        <w:rPr>
          <w:rFonts w:ascii="Palatino Linotype" w:hAnsi="Palatino Linotype" w:cs="Times New Roman"/>
          <w:color w:val="auto"/>
          <w:sz w:val="20"/>
          <w:szCs w:val="20"/>
        </w:rPr>
      </w:pPr>
      <w:r w:rsidRPr="00AA3FB5">
        <w:rPr>
          <w:rFonts w:ascii="Palatino Linotype" w:hAnsi="Palatino Linotype" w:cs="Times New Roman"/>
          <w:color w:val="auto"/>
          <w:sz w:val="20"/>
          <w:szCs w:val="20"/>
        </w:rPr>
        <w:t xml:space="preserve">Strauss, A. </w:t>
      </w:r>
      <w:r w:rsidR="00560AF9">
        <w:rPr>
          <w:rFonts w:ascii="Palatino Linotype" w:hAnsi="Palatino Linotype" w:cs="Times New Roman"/>
          <w:color w:val="auto"/>
          <w:sz w:val="20"/>
          <w:szCs w:val="20"/>
        </w:rPr>
        <w:t>&amp;</w:t>
      </w:r>
      <w:r w:rsidR="00AF7EC8">
        <w:rPr>
          <w:rFonts w:ascii="Palatino Linotype" w:hAnsi="Palatino Linotype" w:cs="Times New Roman"/>
          <w:color w:val="auto"/>
          <w:sz w:val="20"/>
          <w:szCs w:val="20"/>
        </w:rPr>
        <w:t xml:space="preserve"> </w:t>
      </w:r>
      <w:proofErr w:type="spellStart"/>
      <w:r w:rsidRPr="00AA3FB5">
        <w:rPr>
          <w:rFonts w:ascii="Palatino Linotype" w:hAnsi="Palatino Linotype" w:cs="Times New Roman"/>
          <w:color w:val="auto"/>
          <w:sz w:val="20"/>
          <w:szCs w:val="20"/>
        </w:rPr>
        <w:t>Corbin</w:t>
      </w:r>
      <w:proofErr w:type="spellEnd"/>
      <w:r w:rsidRPr="00AA3FB5">
        <w:rPr>
          <w:rFonts w:ascii="Palatino Linotype" w:hAnsi="Palatino Linotype" w:cs="Times New Roman"/>
          <w:color w:val="auto"/>
          <w:sz w:val="20"/>
          <w:szCs w:val="20"/>
        </w:rPr>
        <w:t xml:space="preserve">, J. (2002). </w:t>
      </w:r>
      <w:r w:rsidRPr="00AA3FB5">
        <w:rPr>
          <w:rFonts w:ascii="Palatino Linotype" w:hAnsi="Palatino Linotype" w:cs="Times New Roman"/>
          <w:i/>
          <w:color w:val="auto"/>
          <w:sz w:val="20"/>
          <w:szCs w:val="20"/>
        </w:rPr>
        <w:t>Bases de la investigación cualitativa. Técnicas y procedimientos para desarrollar la teoría fundamentada</w:t>
      </w:r>
      <w:r w:rsidRPr="00AA3FB5">
        <w:rPr>
          <w:rFonts w:ascii="Palatino Linotype" w:hAnsi="Palatino Linotype" w:cs="Times New Roman"/>
          <w:color w:val="auto"/>
          <w:sz w:val="20"/>
          <w:szCs w:val="20"/>
        </w:rPr>
        <w:t>.</w:t>
      </w:r>
      <w:r w:rsidR="00AA749D" w:rsidRPr="00AA749D">
        <w:rPr>
          <w:rFonts w:ascii="Palatino Linotype" w:hAnsi="Palatino Linotype" w:cs="Times New Roman"/>
          <w:color w:val="auto"/>
          <w:sz w:val="20"/>
          <w:szCs w:val="20"/>
        </w:rPr>
        <w:t xml:space="preserve"> </w:t>
      </w:r>
      <w:r w:rsidR="00AA749D" w:rsidRPr="00AA3FB5">
        <w:rPr>
          <w:rFonts w:ascii="Palatino Linotype" w:hAnsi="Palatino Linotype" w:cs="Times New Roman"/>
          <w:color w:val="auto"/>
          <w:sz w:val="20"/>
          <w:szCs w:val="20"/>
        </w:rPr>
        <w:t>Colombia</w:t>
      </w:r>
      <w:r w:rsidR="00AA749D">
        <w:rPr>
          <w:rFonts w:ascii="Palatino Linotype" w:hAnsi="Palatino Linotype" w:cs="Times New Roman"/>
          <w:color w:val="auto"/>
          <w:sz w:val="20"/>
          <w:szCs w:val="20"/>
        </w:rPr>
        <w:t>: Editorial Universidad de Antioquía.</w:t>
      </w:r>
    </w:p>
    <w:p w:rsidR="00AA3FB5" w:rsidRPr="00AA3FB5" w:rsidRDefault="00AA3FB5" w:rsidP="00AA3FB5">
      <w:pPr>
        <w:pStyle w:val="Default"/>
        <w:ind w:left="567" w:hanging="567"/>
        <w:jc w:val="both"/>
        <w:rPr>
          <w:rFonts w:ascii="Palatino Linotype" w:hAnsi="Palatino Linotype" w:cs="Times New Roman"/>
          <w:color w:val="auto"/>
          <w:sz w:val="20"/>
          <w:szCs w:val="20"/>
          <w:lang w:val="en-US"/>
        </w:rPr>
      </w:pPr>
      <w:r w:rsidRPr="00AA3FB5">
        <w:rPr>
          <w:rFonts w:ascii="Palatino Linotype" w:hAnsi="Palatino Linotype" w:cs="Times New Roman"/>
          <w:color w:val="auto"/>
          <w:sz w:val="20"/>
          <w:szCs w:val="20"/>
          <w:lang w:val="en-US"/>
        </w:rPr>
        <w:t xml:space="preserve">Tran, T.T. (2013). Limitation on the development of skills in higher education in Vietnam, </w:t>
      </w:r>
      <w:r w:rsidRPr="00AA3FB5">
        <w:rPr>
          <w:rFonts w:ascii="Palatino Linotype" w:hAnsi="Palatino Linotype" w:cs="Times New Roman"/>
          <w:i/>
          <w:color w:val="auto"/>
          <w:sz w:val="20"/>
          <w:szCs w:val="20"/>
          <w:lang w:val="en-US"/>
        </w:rPr>
        <w:t xml:space="preserve">Higher Education: The International Journal of Higher Education and Educational </w:t>
      </w:r>
      <w:r w:rsidRPr="00B819D8">
        <w:rPr>
          <w:rFonts w:ascii="Palatino Linotype" w:hAnsi="Palatino Linotype" w:cs="Times New Roman"/>
          <w:i/>
          <w:color w:val="auto"/>
          <w:sz w:val="20"/>
          <w:szCs w:val="20"/>
          <w:lang w:val="en-US"/>
        </w:rPr>
        <w:t>Planning, 65</w:t>
      </w:r>
      <w:r w:rsidRPr="00AA3FB5">
        <w:rPr>
          <w:rFonts w:ascii="Palatino Linotype" w:hAnsi="Palatino Linotype" w:cs="Times New Roman"/>
          <w:color w:val="auto"/>
          <w:sz w:val="20"/>
          <w:szCs w:val="20"/>
          <w:lang w:val="en-US"/>
        </w:rPr>
        <w:t xml:space="preserve"> (5), 631-644.</w:t>
      </w:r>
    </w:p>
    <w:p w:rsidR="00AA3FB5" w:rsidRPr="00AA3FB5" w:rsidRDefault="00AA3FB5" w:rsidP="00AA3FB5">
      <w:pPr>
        <w:pStyle w:val="Default"/>
        <w:ind w:left="567" w:hanging="567"/>
        <w:jc w:val="both"/>
        <w:rPr>
          <w:rFonts w:ascii="Palatino Linotype" w:hAnsi="Palatino Linotype" w:cs="Times New Roman"/>
          <w:color w:val="auto"/>
          <w:sz w:val="20"/>
          <w:szCs w:val="20"/>
        </w:rPr>
      </w:pPr>
      <w:r w:rsidRPr="00AA3FB5">
        <w:rPr>
          <w:rFonts w:ascii="Palatino Linotype" w:hAnsi="Palatino Linotype" w:cs="Times New Roman"/>
          <w:color w:val="auto"/>
          <w:sz w:val="20"/>
          <w:szCs w:val="20"/>
        </w:rPr>
        <w:t xml:space="preserve">Villa, A.; Arranz, S.; Campo, L. </w:t>
      </w:r>
      <w:r w:rsidR="00560AF9">
        <w:rPr>
          <w:rFonts w:ascii="Palatino Linotype" w:hAnsi="Palatino Linotype" w:cs="Times New Roman"/>
          <w:color w:val="auto"/>
          <w:sz w:val="20"/>
          <w:szCs w:val="20"/>
        </w:rPr>
        <w:t>&amp;</w:t>
      </w:r>
      <w:r w:rsidRPr="00AA3FB5">
        <w:rPr>
          <w:rFonts w:ascii="Palatino Linotype" w:hAnsi="Palatino Linotype" w:cs="Times New Roman"/>
          <w:color w:val="auto"/>
          <w:sz w:val="20"/>
          <w:szCs w:val="20"/>
        </w:rPr>
        <w:t xml:space="preserve"> Villa, O. (2015). Percepción del profesorado y responsables académicos sobre el proceso de implantación del Espacio Europeo de Educación Superior en diversas titulaciones de educación</w:t>
      </w:r>
      <w:r w:rsidR="00B819D8">
        <w:rPr>
          <w:rFonts w:ascii="Palatino Linotype" w:hAnsi="Palatino Linotype" w:cs="Times New Roman"/>
          <w:color w:val="auto"/>
          <w:sz w:val="20"/>
          <w:szCs w:val="20"/>
        </w:rPr>
        <w:t>,</w:t>
      </w:r>
      <w:r w:rsidRPr="00AA3FB5">
        <w:rPr>
          <w:rFonts w:ascii="Palatino Linotype" w:hAnsi="Palatino Linotype" w:cs="Times New Roman"/>
          <w:color w:val="auto"/>
          <w:sz w:val="20"/>
          <w:szCs w:val="20"/>
        </w:rPr>
        <w:t xml:space="preserve"> </w:t>
      </w:r>
      <w:r w:rsidRPr="00B819D8">
        <w:rPr>
          <w:rFonts w:ascii="Palatino Linotype" w:hAnsi="Palatino Linotype" w:cs="Times New Roman"/>
          <w:i/>
          <w:color w:val="auto"/>
          <w:sz w:val="20"/>
          <w:szCs w:val="20"/>
        </w:rPr>
        <w:t>Profesorado</w:t>
      </w:r>
      <w:r w:rsidR="00B819D8">
        <w:rPr>
          <w:rFonts w:ascii="Palatino Linotype" w:hAnsi="Palatino Linotype" w:cs="Times New Roman"/>
          <w:i/>
          <w:color w:val="auto"/>
          <w:sz w:val="20"/>
          <w:szCs w:val="20"/>
        </w:rPr>
        <w:t>.</w:t>
      </w:r>
      <w:r w:rsidRPr="00AA3FB5">
        <w:rPr>
          <w:rFonts w:ascii="Palatino Linotype" w:hAnsi="Palatino Linotype" w:cs="Times New Roman"/>
          <w:color w:val="auto"/>
          <w:sz w:val="20"/>
          <w:szCs w:val="20"/>
        </w:rPr>
        <w:t xml:space="preserve"> </w:t>
      </w:r>
      <w:r w:rsidRPr="00AA3FB5">
        <w:rPr>
          <w:rFonts w:ascii="Palatino Linotype" w:hAnsi="Palatino Linotype" w:cs="Times New Roman"/>
          <w:i/>
          <w:color w:val="auto"/>
          <w:sz w:val="20"/>
          <w:szCs w:val="20"/>
        </w:rPr>
        <w:t>Revista de currículum y formación del profesorado, 19</w:t>
      </w:r>
      <w:r w:rsidRPr="00AA3FB5">
        <w:rPr>
          <w:rFonts w:ascii="Palatino Linotype" w:hAnsi="Palatino Linotype" w:cs="Times New Roman"/>
          <w:color w:val="auto"/>
          <w:sz w:val="20"/>
          <w:szCs w:val="20"/>
        </w:rPr>
        <w:t xml:space="preserve"> (2), 245-264.</w:t>
      </w:r>
    </w:p>
    <w:p w:rsidR="00AA3FB5" w:rsidRPr="00AA3FB5" w:rsidRDefault="00AA3FB5" w:rsidP="00AA3FB5">
      <w:pPr>
        <w:pStyle w:val="Default"/>
        <w:ind w:left="567" w:hanging="567"/>
        <w:jc w:val="both"/>
        <w:rPr>
          <w:rFonts w:ascii="Palatino Linotype" w:hAnsi="Palatino Linotype" w:cs="Times New Roman"/>
          <w:color w:val="auto"/>
          <w:sz w:val="20"/>
          <w:szCs w:val="20"/>
        </w:rPr>
      </w:pPr>
      <w:r w:rsidRPr="00AA3FB5">
        <w:rPr>
          <w:rFonts w:ascii="Palatino Linotype" w:hAnsi="Palatino Linotype" w:cs="Times New Roman"/>
          <w:color w:val="auto"/>
          <w:sz w:val="20"/>
          <w:szCs w:val="20"/>
        </w:rPr>
        <w:t xml:space="preserve">Villarroel, V. </w:t>
      </w:r>
      <w:r w:rsidR="00560AF9">
        <w:rPr>
          <w:rFonts w:ascii="Palatino Linotype" w:hAnsi="Palatino Linotype" w:cs="Times New Roman"/>
          <w:color w:val="auto"/>
          <w:sz w:val="20"/>
          <w:szCs w:val="20"/>
        </w:rPr>
        <w:t>&amp;</w:t>
      </w:r>
      <w:r w:rsidRPr="00AA3FB5">
        <w:rPr>
          <w:rFonts w:ascii="Palatino Linotype" w:hAnsi="Palatino Linotype" w:cs="Times New Roman"/>
          <w:color w:val="auto"/>
          <w:sz w:val="20"/>
          <w:szCs w:val="20"/>
        </w:rPr>
        <w:t xml:space="preserve"> Bruna, D. (2014). Reflexiones en torno a las competencias genéricas en educación superior: Un desafío pendiente, </w:t>
      </w:r>
      <w:proofErr w:type="spellStart"/>
      <w:r w:rsidRPr="00AA3FB5">
        <w:rPr>
          <w:rFonts w:ascii="Palatino Linotype" w:hAnsi="Palatino Linotype" w:cs="Times New Roman"/>
          <w:i/>
          <w:color w:val="auto"/>
          <w:sz w:val="20"/>
          <w:szCs w:val="20"/>
        </w:rPr>
        <w:t>Psicoperspectivas</w:t>
      </w:r>
      <w:proofErr w:type="spellEnd"/>
      <w:r w:rsidRPr="00AA3FB5">
        <w:rPr>
          <w:rFonts w:ascii="Palatino Linotype" w:hAnsi="Palatino Linotype" w:cs="Times New Roman"/>
          <w:i/>
          <w:color w:val="auto"/>
          <w:sz w:val="20"/>
          <w:szCs w:val="20"/>
        </w:rPr>
        <w:t>, 13</w:t>
      </w:r>
      <w:r w:rsidRPr="00AA3FB5">
        <w:rPr>
          <w:rFonts w:ascii="Palatino Linotype" w:hAnsi="Palatino Linotype" w:cs="Times New Roman"/>
          <w:color w:val="auto"/>
          <w:sz w:val="20"/>
          <w:szCs w:val="20"/>
        </w:rPr>
        <w:t xml:space="preserve"> (1), 23-34.</w:t>
      </w:r>
    </w:p>
    <w:p w:rsidR="00AA3FB5" w:rsidRDefault="00AA3FB5" w:rsidP="00AA3FB5">
      <w:pPr>
        <w:pStyle w:val="Default"/>
        <w:ind w:left="567" w:hanging="567"/>
        <w:jc w:val="both"/>
        <w:rPr>
          <w:rFonts w:ascii="Times New Roman" w:eastAsia="Calibri" w:hAnsi="Times New Roman" w:cs="Times New Roman"/>
          <w:color w:val="auto"/>
          <w:lang w:val="en-US"/>
        </w:rPr>
      </w:pPr>
      <w:r w:rsidRPr="00AA3FB5">
        <w:rPr>
          <w:rFonts w:ascii="Palatino Linotype" w:eastAsia="Calibri" w:hAnsi="Palatino Linotype" w:cs="Times New Roman"/>
          <w:color w:val="auto"/>
          <w:sz w:val="20"/>
          <w:szCs w:val="20"/>
          <w:lang w:val="en-US"/>
        </w:rPr>
        <w:t>Watson, R. (2011). A rationale for the development of an extracurricular employability award at a British University,</w:t>
      </w:r>
      <w:r w:rsidR="00AF7EC8">
        <w:rPr>
          <w:rFonts w:ascii="Palatino Linotype" w:eastAsia="Calibri" w:hAnsi="Palatino Linotype" w:cs="Times New Roman"/>
          <w:color w:val="auto"/>
          <w:sz w:val="20"/>
          <w:szCs w:val="20"/>
          <w:lang w:val="en-US"/>
        </w:rPr>
        <w:t xml:space="preserve"> </w:t>
      </w:r>
      <w:r w:rsidRPr="00AF7EC8">
        <w:rPr>
          <w:rFonts w:ascii="Palatino Linotype" w:eastAsia="Calibri" w:hAnsi="Palatino Linotype" w:cs="Times New Roman"/>
          <w:i/>
          <w:iCs/>
          <w:color w:val="auto"/>
          <w:sz w:val="20"/>
          <w:szCs w:val="20"/>
          <w:lang w:val="en-US"/>
        </w:rPr>
        <w:t>Research in Post-Compulsory Education, 16</w:t>
      </w:r>
      <w:r w:rsidRPr="00AA3FB5">
        <w:rPr>
          <w:rFonts w:ascii="Palatino Linotype" w:eastAsia="Calibri" w:hAnsi="Palatino Linotype" w:cs="Times New Roman"/>
          <w:iCs/>
          <w:color w:val="auto"/>
          <w:sz w:val="20"/>
          <w:szCs w:val="20"/>
          <w:lang w:val="en-US"/>
        </w:rPr>
        <w:t xml:space="preserve"> (3)</w:t>
      </w:r>
      <w:r w:rsidRPr="00AA3FB5">
        <w:rPr>
          <w:rFonts w:ascii="Palatino Linotype" w:eastAsia="Calibri" w:hAnsi="Palatino Linotype" w:cs="Times New Roman"/>
          <w:color w:val="auto"/>
          <w:sz w:val="20"/>
          <w:szCs w:val="20"/>
          <w:lang w:val="en-US"/>
        </w:rPr>
        <w:t>, 371-384</w:t>
      </w:r>
      <w:r>
        <w:rPr>
          <w:rFonts w:ascii="Times New Roman" w:eastAsia="Calibri" w:hAnsi="Times New Roman" w:cs="Times New Roman"/>
          <w:color w:val="auto"/>
          <w:lang w:val="en-US"/>
        </w:rPr>
        <w:t>.</w:t>
      </w:r>
    </w:p>
    <w:p w:rsidR="00AA3FB5" w:rsidRPr="00E307BB" w:rsidRDefault="00AA3FB5" w:rsidP="00AA3FB5">
      <w:pPr>
        <w:pStyle w:val="Default"/>
        <w:ind w:left="567" w:hanging="567"/>
        <w:jc w:val="both"/>
        <w:rPr>
          <w:rFonts w:ascii="Times New Roman" w:eastAsia="Calibri" w:hAnsi="Times New Roman" w:cs="Times New Roman"/>
          <w:b/>
          <w:color w:val="auto"/>
          <w:lang w:val="en-US"/>
        </w:rPr>
      </w:pPr>
    </w:p>
    <w:p w:rsidR="00AA3FB5" w:rsidRPr="000365D3" w:rsidRDefault="00AA3FB5" w:rsidP="00AA3FB5">
      <w:pPr>
        <w:pStyle w:val="Default"/>
        <w:jc w:val="both"/>
        <w:rPr>
          <w:rFonts w:ascii="Times New Roman" w:eastAsia="Calibri" w:hAnsi="Times New Roman" w:cs="Times New Roman"/>
          <w:color w:val="auto"/>
          <w:lang w:val="en-US"/>
        </w:rPr>
      </w:pPr>
    </w:p>
    <w:p w:rsidR="00E10B64" w:rsidRPr="00AA3FB5" w:rsidRDefault="00E10B64" w:rsidP="00AA3FB5">
      <w:pPr>
        <w:tabs>
          <w:tab w:val="left" w:pos="426"/>
        </w:tabs>
        <w:spacing w:after="0" w:line="240" w:lineRule="exact"/>
        <w:ind w:left="426" w:right="38" w:hanging="284"/>
        <w:jc w:val="both"/>
        <w:rPr>
          <w:rFonts w:eastAsia="Palatino Linotype" w:cs="Palatino Linotype"/>
          <w:color w:val="231F20"/>
          <w:spacing w:val="-15"/>
          <w:sz w:val="24"/>
          <w:szCs w:val="24"/>
        </w:rPr>
      </w:pPr>
      <w:bookmarkStart w:id="0" w:name="_GoBack"/>
      <w:bookmarkEnd w:id="0"/>
    </w:p>
    <w:sectPr w:rsidR="00E10B64" w:rsidRPr="00AA3FB5" w:rsidSect="00DB1DBE">
      <w:type w:val="continuous"/>
      <w:pgSz w:w="9639" w:h="13631" w:code="9"/>
      <w:pgMar w:top="1418" w:right="964" w:bottom="1418" w:left="964" w:header="720" w:footer="72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0CEAF1" w15:done="0"/>
  <w15:commentEx w15:paraId="39BFA89E" w15:done="0"/>
  <w15:commentEx w15:paraId="125523EC" w15:done="0"/>
  <w15:commentEx w15:paraId="7A36977E" w15:done="0"/>
  <w15:commentEx w15:paraId="1B5EC286" w15:done="0"/>
  <w15:commentEx w15:paraId="1D594B00" w15:done="0"/>
  <w15:commentEx w15:paraId="059EFAF2" w15:done="0"/>
  <w15:commentEx w15:paraId="10BFBE50" w15:done="0"/>
  <w15:commentEx w15:paraId="26F4AEE6" w15:done="0"/>
  <w15:commentEx w15:paraId="13E66B00" w15:done="0"/>
  <w15:commentEx w15:paraId="09A39062" w15:done="0"/>
  <w15:commentEx w15:paraId="62E6A79D" w15:done="0"/>
  <w15:commentEx w15:paraId="45B90BB9" w15:done="0"/>
  <w15:commentEx w15:paraId="6703A24E" w15:done="0"/>
  <w15:commentEx w15:paraId="11766BF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C6B" w:rsidRDefault="00435C6B" w:rsidP="00632652">
      <w:pPr>
        <w:spacing w:after="0" w:line="240" w:lineRule="auto"/>
      </w:pPr>
      <w:r>
        <w:separator/>
      </w:r>
    </w:p>
  </w:endnote>
  <w:endnote w:type="continuationSeparator" w:id="0">
    <w:p w:rsidR="00435C6B" w:rsidRDefault="00435C6B" w:rsidP="00632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Palatino">
    <w:panose1 w:val="02040602050305020304"/>
    <w:charset w:val="00"/>
    <w:family w:val="roman"/>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A28" w:rsidRDefault="00781A28" w:rsidP="00781A28">
    <w:pPr>
      <w:pStyle w:val="Piedepgina"/>
      <w:jc w:val="cente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A28" w:rsidRPr="00781A28" w:rsidRDefault="00781A28"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 #-#</w:t>
    </w:r>
  </w:p>
  <w:p w:rsidR="00781A28" w:rsidRDefault="00781A2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30" w:rsidRPr="00781A28" w:rsidRDefault="00505A30"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w:t>
    </w:r>
    <w:r w:rsidR="00781A28" w:rsidRPr="00781A28">
      <w:rPr>
        <w:rFonts w:ascii="Palatino Linotype" w:eastAsia="Palatino Linotype" w:hAnsi="Palatino Linotype" w:cs="Palatino Linotype"/>
        <w:i/>
        <w:color w:val="231F20"/>
        <w:position w:val="2"/>
        <w:sz w:val="16"/>
        <w:szCs w:val="16"/>
        <w:lang w:val="es-ES"/>
      </w:rP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C6B" w:rsidRDefault="00435C6B" w:rsidP="00632652">
      <w:pPr>
        <w:spacing w:after="0" w:line="240" w:lineRule="auto"/>
      </w:pPr>
      <w:r>
        <w:separator/>
      </w:r>
    </w:p>
  </w:footnote>
  <w:footnote w:type="continuationSeparator" w:id="0">
    <w:p w:rsidR="00435C6B" w:rsidRDefault="00435C6B" w:rsidP="00632652">
      <w:pPr>
        <w:spacing w:after="0" w:line="240" w:lineRule="auto"/>
      </w:pPr>
      <w:r>
        <w:continuationSeparator/>
      </w:r>
    </w:p>
  </w:footnote>
  <w:footnote w:id="1">
    <w:p w:rsidR="004934D0" w:rsidRPr="008F5694" w:rsidRDefault="004934D0">
      <w:pPr>
        <w:pStyle w:val="Textonotapie"/>
        <w:rPr>
          <w:rFonts w:ascii="Gill Sans MT" w:hAnsi="Gill Sans MT"/>
          <w:sz w:val="16"/>
          <w:szCs w:val="16"/>
          <w:lang w:val="es-ES"/>
        </w:rPr>
      </w:pPr>
      <w:r>
        <w:rPr>
          <w:rStyle w:val="Refdenotaalpie"/>
        </w:rPr>
        <w:footnoteRef/>
      </w:r>
      <w:r w:rsidR="008F5694">
        <w:rPr>
          <w:lang w:val="es-ES"/>
        </w:rPr>
        <w:t>I</w:t>
      </w:r>
      <w:r w:rsidRPr="008F5694">
        <w:rPr>
          <w:rFonts w:ascii="Gill Sans MT" w:hAnsi="Gill Sans MT"/>
          <w:sz w:val="16"/>
          <w:szCs w:val="16"/>
          <w:lang w:val="es-ES"/>
        </w:rPr>
        <w:t>nvestigación financiada por el Ministerio de Economía y Competitividad de España (Ref. EDU2012-32766), titulada: “El impacto de la evaluación educativa en el desarrollo de competencias en la universidad. La perspectiva de las primeras promociones de graduados</w:t>
      </w:r>
      <w:r w:rsidR="008F5694">
        <w:rPr>
          <w:rFonts w:ascii="Gill Sans MT" w:hAnsi="Gill Sans MT"/>
          <w:sz w:val="16"/>
          <w:szCs w:val="16"/>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8A" w:rsidRPr="00DB1DBE" w:rsidRDefault="00975AB8" w:rsidP="003D42AE">
    <w:pPr>
      <w:pStyle w:val="Encabezado"/>
      <w:jc w:val="right"/>
      <w:rPr>
        <w:lang w:val="es-ES"/>
      </w:rPr>
    </w:pPr>
    <w:r>
      <w:rPr>
        <w:rFonts w:ascii="Palatino Linotype" w:eastAsia="Palatino Linotype" w:hAnsi="Palatino Linotype" w:cs="Palatino Linotype"/>
        <w:i/>
        <w:color w:val="231F20"/>
        <w:position w:val="2"/>
        <w:sz w:val="16"/>
        <w:szCs w:val="16"/>
        <w:lang w:val="es-ES"/>
      </w:rPr>
      <w:t xml:space="preserve">María del Carmen, López </w:t>
    </w:r>
    <w:proofErr w:type="spellStart"/>
    <w:r>
      <w:rPr>
        <w:rFonts w:ascii="Palatino Linotype" w:eastAsia="Palatino Linotype" w:hAnsi="Palatino Linotype" w:cs="Palatino Linotype"/>
        <w:i/>
        <w:color w:val="231F20"/>
        <w:position w:val="2"/>
        <w:sz w:val="16"/>
        <w:szCs w:val="16"/>
        <w:lang w:val="es-ES"/>
      </w:rPr>
      <w:t>López</w:t>
    </w:r>
    <w:proofErr w:type="spellEnd"/>
    <w:r>
      <w:rPr>
        <w:rFonts w:ascii="Palatino Linotype" w:eastAsia="Palatino Linotype" w:hAnsi="Palatino Linotype" w:cs="Palatino Linotype"/>
        <w:i/>
        <w:color w:val="231F20"/>
        <w:position w:val="2"/>
        <w:sz w:val="16"/>
        <w:szCs w:val="16"/>
        <w:lang w:val="es-ES"/>
      </w:rPr>
      <w:t xml:space="preserve">, María José León Guerrero </w:t>
    </w:r>
    <w:r w:rsidRPr="00975AB8">
      <w:rPr>
        <w:rFonts w:ascii="Palatino Linotype" w:eastAsia="Palatino Linotype" w:hAnsi="Palatino Linotype" w:cs="Palatino Linotype"/>
        <w:i/>
        <w:color w:val="231F20"/>
        <w:position w:val="2"/>
        <w:sz w:val="16"/>
        <w:szCs w:val="16"/>
        <w:lang w:val="es-ES"/>
      </w:rPr>
      <w:t>y Purificación Pérez</w:t>
    </w:r>
    <w:r w:rsidR="006C72DE" w:rsidRPr="006C72DE">
      <w:rPr>
        <w:rFonts w:ascii="Palatino Linotype" w:eastAsia="Palatino Linotype" w:hAnsi="Palatino Linotype" w:cs="Palatino Linotype"/>
        <w:i/>
        <w:color w:val="231F20"/>
        <w:position w:val="2"/>
        <w:sz w:val="16"/>
        <w:szCs w:val="16"/>
        <w:lang w:val="es-ES"/>
      </w:rPr>
      <w:t xml:space="preserve"> </w:t>
    </w:r>
    <w:r w:rsidR="006C72DE" w:rsidRPr="00975AB8">
      <w:rPr>
        <w:rFonts w:ascii="Palatino Linotype" w:eastAsia="Palatino Linotype" w:hAnsi="Palatino Linotype" w:cs="Palatino Linotype"/>
        <w:i/>
        <w:color w:val="231F20"/>
        <w:position w:val="2"/>
        <w:sz w:val="16"/>
        <w:szCs w:val="16"/>
        <w:lang w:val="es-ES"/>
      </w:rPr>
      <w:t>García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E6" w:rsidRPr="00470D8A" w:rsidRDefault="006C72DE">
    <w:pPr>
      <w:pStyle w:val="Encabezado"/>
      <w:rPr>
        <w:rFonts w:ascii="Palatino Linotype" w:eastAsia="Palatino Linotype" w:hAnsi="Palatino Linotype" w:cs="Palatino Linotype"/>
        <w:i/>
        <w:color w:val="231F20"/>
        <w:position w:val="2"/>
        <w:sz w:val="16"/>
        <w:szCs w:val="16"/>
        <w:lang w:val="es-ES"/>
      </w:rPr>
    </w:pPr>
    <w:r w:rsidRPr="006C72DE">
      <w:rPr>
        <w:rFonts w:ascii="Palatino Linotype" w:eastAsia="Palatino Linotype" w:hAnsi="Palatino Linotype" w:cs="Palatino Linotype"/>
        <w:i/>
        <w:color w:val="231F20"/>
        <w:position w:val="2"/>
        <w:sz w:val="16"/>
        <w:szCs w:val="16"/>
        <w:lang w:val="es-ES"/>
      </w:rPr>
      <w:t>El enfoque por competencias en el contexto universitario español. La visión del profesorado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rsids>
    <w:rsidRoot w:val="00D14FC9"/>
    <w:rsid w:val="00030BFA"/>
    <w:rsid w:val="000460CC"/>
    <w:rsid w:val="0006600D"/>
    <w:rsid w:val="00067F96"/>
    <w:rsid w:val="00074CA6"/>
    <w:rsid w:val="00083E03"/>
    <w:rsid w:val="00092E41"/>
    <w:rsid w:val="000A6B10"/>
    <w:rsid w:val="000A72AB"/>
    <w:rsid w:val="000B5406"/>
    <w:rsid w:val="000C5C48"/>
    <w:rsid w:val="000E0ED8"/>
    <w:rsid w:val="000E7994"/>
    <w:rsid w:val="000F3BBA"/>
    <w:rsid w:val="00102563"/>
    <w:rsid w:val="00105DD6"/>
    <w:rsid w:val="001121C8"/>
    <w:rsid w:val="00112796"/>
    <w:rsid w:val="00141B52"/>
    <w:rsid w:val="001678B6"/>
    <w:rsid w:val="00170974"/>
    <w:rsid w:val="0019776B"/>
    <w:rsid w:val="001A3F9C"/>
    <w:rsid w:val="001A63FC"/>
    <w:rsid w:val="001B7AAB"/>
    <w:rsid w:val="001C175F"/>
    <w:rsid w:val="001C3D7B"/>
    <w:rsid w:val="001C72A1"/>
    <w:rsid w:val="001F3821"/>
    <w:rsid w:val="001F69FF"/>
    <w:rsid w:val="0023503E"/>
    <w:rsid w:val="002516B0"/>
    <w:rsid w:val="0026177F"/>
    <w:rsid w:val="002622A0"/>
    <w:rsid w:val="0028172D"/>
    <w:rsid w:val="0029579D"/>
    <w:rsid w:val="002A2429"/>
    <w:rsid w:val="002D27C8"/>
    <w:rsid w:val="002D6BE2"/>
    <w:rsid w:val="002F2A4A"/>
    <w:rsid w:val="002F6477"/>
    <w:rsid w:val="00302DB0"/>
    <w:rsid w:val="003101F3"/>
    <w:rsid w:val="00316EBA"/>
    <w:rsid w:val="00335917"/>
    <w:rsid w:val="00345FD0"/>
    <w:rsid w:val="00355F72"/>
    <w:rsid w:val="00356435"/>
    <w:rsid w:val="00360F37"/>
    <w:rsid w:val="0039453D"/>
    <w:rsid w:val="003A0A9B"/>
    <w:rsid w:val="003A68BD"/>
    <w:rsid w:val="003B489B"/>
    <w:rsid w:val="003C16BF"/>
    <w:rsid w:val="003C35AA"/>
    <w:rsid w:val="003D42AE"/>
    <w:rsid w:val="003E2451"/>
    <w:rsid w:val="003F08AB"/>
    <w:rsid w:val="003F610E"/>
    <w:rsid w:val="00402446"/>
    <w:rsid w:val="00405C5D"/>
    <w:rsid w:val="004220F3"/>
    <w:rsid w:val="00427F63"/>
    <w:rsid w:val="00435C6B"/>
    <w:rsid w:val="0043685B"/>
    <w:rsid w:val="00440B85"/>
    <w:rsid w:val="00440F7D"/>
    <w:rsid w:val="004468A0"/>
    <w:rsid w:val="004522CD"/>
    <w:rsid w:val="00453544"/>
    <w:rsid w:val="00461200"/>
    <w:rsid w:val="00465ABE"/>
    <w:rsid w:val="00467804"/>
    <w:rsid w:val="00470D8A"/>
    <w:rsid w:val="0047534A"/>
    <w:rsid w:val="00480303"/>
    <w:rsid w:val="004866B0"/>
    <w:rsid w:val="004934D0"/>
    <w:rsid w:val="004949FF"/>
    <w:rsid w:val="004950E3"/>
    <w:rsid w:val="004C2211"/>
    <w:rsid w:val="004D3F5F"/>
    <w:rsid w:val="004E664C"/>
    <w:rsid w:val="005038B8"/>
    <w:rsid w:val="00505A30"/>
    <w:rsid w:val="0051022D"/>
    <w:rsid w:val="005115F7"/>
    <w:rsid w:val="00520DA6"/>
    <w:rsid w:val="005245E4"/>
    <w:rsid w:val="00524F69"/>
    <w:rsid w:val="00526424"/>
    <w:rsid w:val="005271A0"/>
    <w:rsid w:val="00533F26"/>
    <w:rsid w:val="005476B5"/>
    <w:rsid w:val="00547DFD"/>
    <w:rsid w:val="00560AF9"/>
    <w:rsid w:val="00573EAB"/>
    <w:rsid w:val="00574302"/>
    <w:rsid w:val="005808F8"/>
    <w:rsid w:val="00584AB9"/>
    <w:rsid w:val="005878D5"/>
    <w:rsid w:val="00597BED"/>
    <w:rsid w:val="005A363C"/>
    <w:rsid w:val="005A78B9"/>
    <w:rsid w:val="005B03A4"/>
    <w:rsid w:val="005B1C7C"/>
    <w:rsid w:val="005B41C5"/>
    <w:rsid w:val="005C73D8"/>
    <w:rsid w:val="005D7F99"/>
    <w:rsid w:val="005E59EE"/>
    <w:rsid w:val="005E7CC3"/>
    <w:rsid w:val="005F48E5"/>
    <w:rsid w:val="0062216D"/>
    <w:rsid w:val="00626641"/>
    <w:rsid w:val="00627222"/>
    <w:rsid w:val="00632652"/>
    <w:rsid w:val="00640143"/>
    <w:rsid w:val="006427EA"/>
    <w:rsid w:val="00657FAE"/>
    <w:rsid w:val="00677C85"/>
    <w:rsid w:val="00682A81"/>
    <w:rsid w:val="00691245"/>
    <w:rsid w:val="006927FE"/>
    <w:rsid w:val="006C083E"/>
    <w:rsid w:val="006C72DE"/>
    <w:rsid w:val="006D15DB"/>
    <w:rsid w:val="007151D9"/>
    <w:rsid w:val="007313BE"/>
    <w:rsid w:val="00734986"/>
    <w:rsid w:val="0074119C"/>
    <w:rsid w:val="00743811"/>
    <w:rsid w:val="00753DAB"/>
    <w:rsid w:val="0077449E"/>
    <w:rsid w:val="00775D5C"/>
    <w:rsid w:val="00776568"/>
    <w:rsid w:val="00781A28"/>
    <w:rsid w:val="00790AEC"/>
    <w:rsid w:val="007A54F1"/>
    <w:rsid w:val="007A5535"/>
    <w:rsid w:val="007B7C88"/>
    <w:rsid w:val="007C166C"/>
    <w:rsid w:val="007E1356"/>
    <w:rsid w:val="008108E3"/>
    <w:rsid w:val="008169E3"/>
    <w:rsid w:val="00824A00"/>
    <w:rsid w:val="008261FF"/>
    <w:rsid w:val="00826542"/>
    <w:rsid w:val="00850D28"/>
    <w:rsid w:val="00853772"/>
    <w:rsid w:val="0085389D"/>
    <w:rsid w:val="00855CFF"/>
    <w:rsid w:val="008807EA"/>
    <w:rsid w:val="0089069D"/>
    <w:rsid w:val="00895D2E"/>
    <w:rsid w:val="008A5BBF"/>
    <w:rsid w:val="008B133C"/>
    <w:rsid w:val="008C03B6"/>
    <w:rsid w:val="008C0F1D"/>
    <w:rsid w:val="008C4F95"/>
    <w:rsid w:val="008D0A47"/>
    <w:rsid w:val="008D737F"/>
    <w:rsid w:val="008E08E4"/>
    <w:rsid w:val="008F32E4"/>
    <w:rsid w:val="008F5694"/>
    <w:rsid w:val="00912B47"/>
    <w:rsid w:val="009170A7"/>
    <w:rsid w:val="009171D5"/>
    <w:rsid w:val="00927DC2"/>
    <w:rsid w:val="00930136"/>
    <w:rsid w:val="00930154"/>
    <w:rsid w:val="00941172"/>
    <w:rsid w:val="0095065E"/>
    <w:rsid w:val="009520FE"/>
    <w:rsid w:val="00955A1E"/>
    <w:rsid w:val="00956C00"/>
    <w:rsid w:val="00963489"/>
    <w:rsid w:val="00967894"/>
    <w:rsid w:val="00975AB8"/>
    <w:rsid w:val="0097772C"/>
    <w:rsid w:val="0097779C"/>
    <w:rsid w:val="00977EE3"/>
    <w:rsid w:val="009807CF"/>
    <w:rsid w:val="00984ED1"/>
    <w:rsid w:val="0098727F"/>
    <w:rsid w:val="00991395"/>
    <w:rsid w:val="009A4B42"/>
    <w:rsid w:val="009A7684"/>
    <w:rsid w:val="009B4EB4"/>
    <w:rsid w:val="009B5068"/>
    <w:rsid w:val="009B738F"/>
    <w:rsid w:val="009E2D86"/>
    <w:rsid w:val="00A00662"/>
    <w:rsid w:val="00A154EF"/>
    <w:rsid w:val="00A2064D"/>
    <w:rsid w:val="00A3292C"/>
    <w:rsid w:val="00A33C62"/>
    <w:rsid w:val="00A41F4F"/>
    <w:rsid w:val="00A54CB2"/>
    <w:rsid w:val="00A72FD5"/>
    <w:rsid w:val="00A833FC"/>
    <w:rsid w:val="00A87A7D"/>
    <w:rsid w:val="00AA3FB5"/>
    <w:rsid w:val="00AA749D"/>
    <w:rsid w:val="00AC5EF4"/>
    <w:rsid w:val="00AC7B6E"/>
    <w:rsid w:val="00AE18F1"/>
    <w:rsid w:val="00AF11E3"/>
    <w:rsid w:val="00AF7EC8"/>
    <w:rsid w:val="00B05073"/>
    <w:rsid w:val="00B33494"/>
    <w:rsid w:val="00B34B19"/>
    <w:rsid w:val="00B420BC"/>
    <w:rsid w:val="00B42735"/>
    <w:rsid w:val="00B4698C"/>
    <w:rsid w:val="00B64E19"/>
    <w:rsid w:val="00B819D8"/>
    <w:rsid w:val="00BA5930"/>
    <w:rsid w:val="00BB4EE0"/>
    <w:rsid w:val="00BB6A23"/>
    <w:rsid w:val="00BC1655"/>
    <w:rsid w:val="00BC2EC9"/>
    <w:rsid w:val="00BD6151"/>
    <w:rsid w:val="00BE2D6C"/>
    <w:rsid w:val="00BE5E59"/>
    <w:rsid w:val="00C20207"/>
    <w:rsid w:val="00C2190A"/>
    <w:rsid w:val="00C23CC2"/>
    <w:rsid w:val="00C252A0"/>
    <w:rsid w:val="00C25878"/>
    <w:rsid w:val="00C44F27"/>
    <w:rsid w:val="00C477AB"/>
    <w:rsid w:val="00C66D49"/>
    <w:rsid w:val="00CA063E"/>
    <w:rsid w:val="00CA3EFD"/>
    <w:rsid w:val="00CC42CB"/>
    <w:rsid w:val="00CC73A0"/>
    <w:rsid w:val="00CE4FF3"/>
    <w:rsid w:val="00CF64A2"/>
    <w:rsid w:val="00D04B8F"/>
    <w:rsid w:val="00D06F6A"/>
    <w:rsid w:val="00D14FC9"/>
    <w:rsid w:val="00D16239"/>
    <w:rsid w:val="00D16756"/>
    <w:rsid w:val="00D262AE"/>
    <w:rsid w:val="00D617ED"/>
    <w:rsid w:val="00D62ED0"/>
    <w:rsid w:val="00D63617"/>
    <w:rsid w:val="00D83275"/>
    <w:rsid w:val="00D844B3"/>
    <w:rsid w:val="00DA3095"/>
    <w:rsid w:val="00DA4131"/>
    <w:rsid w:val="00DB1566"/>
    <w:rsid w:val="00DB1DBE"/>
    <w:rsid w:val="00DD1091"/>
    <w:rsid w:val="00DE0874"/>
    <w:rsid w:val="00E10B64"/>
    <w:rsid w:val="00E15D29"/>
    <w:rsid w:val="00E434A3"/>
    <w:rsid w:val="00E43DF7"/>
    <w:rsid w:val="00E50E4E"/>
    <w:rsid w:val="00E512A3"/>
    <w:rsid w:val="00E64354"/>
    <w:rsid w:val="00E64A86"/>
    <w:rsid w:val="00E65DE6"/>
    <w:rsid w:val="00E725C3"/>
    <w:rsid w:val="00E844B9"/>
    <w:rsid w:val="00E97533"/>
    <w:rsid w:val="00EA0C53"/>
    <w:rsid w:val="00ED254B"/>
    <w:rsid w:val="00ED6197"/>
    <w:rsid w:val="00ED75B6"/>
    <w:rsid w:val="00EE4AAA"/>
    <w:rsid w:val="00EE4BBB"/>
    <w:rsid w:val="00F0471F"/>
    <w:rsid w:val="00F11B8F"/>
    <w:rsid w:val="00F14868"/>
    <w:rsid w:val="00F224C7"/>
    <w:rsid w:val="00F466D1"/>
    <w:rsid w:val="00F53C30"/>
    <w:rsid w:val="00F6670E"/>
    <w:rsid w:val="00F67B78"/>
    <w:rsid w:val="00F94080"/>
    <w:rsid w:val="00F97AF0"/>
    <w:rsid w:val="00FB0290"/>
    <w:rsid w:val="00FB07D6"/>
    <w:rsid w:val="00FD0D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98C"/>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table" w:styleId="Listaclara">
    <w:name w:val="Light List"/>
    <w:basedOn w:val="Tablanormal"/>
    <w:uiPriority w:val="61"/>
    <w:rsid w:val="00BB6A2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AA3FB5"/>
    <w:pPr>
      <w:autoSpaceDE w:val="0"/>
      <w:autoSpaceDN w:val="0"/>
      <w:adjustRightInd w:val="0"/>
      <w:spacing w:after="0" w:line="240" w:lineRule="auto"/>
    </w:pPr>
    <w:rPr>
      <w:rFonts w:ascii="Arial" w:hAnsi="Arial" w:cs="Arial"/>
      <w:color w:val="000000"/>
      <w:sz w:val="24"/>
      <w:szCs w:val="24"/>
    </w:rPr>
  </w:style>
  <w:style w:type="table" w:customStyle="1" w:styleId="Estilo1">
    <w:name w:val="Estilo1"/>
    <w:basedOn w:val="Tablanormal"/>
    <w:uiPriority w:val="99"/>
    <w:rsid w:val="00AA3FB5"/>
    <w:pPr>
      <w:spacing w:after="0" w:line="240" w:lineRule="auto"/>
    </w:pPr>
    <w:tblPr>
      <w:tblInd w:w="0" w:type="dxa"/>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4934D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934D0"/>
    <w:rPr>
      <w:sz w:val="20"/>
      <w:szCs w:val="20"/>
      <w:lang w:val="en-US"/>
    </w:rPr>
  </w:style>
  <w:style w:type="character" w:styleId="Refdenotaalfinal">
    <w:name w:val="endnote reference"/>
    <w:basedOn w:val="Fuentedeprrafopredeter"/>
    <w:uiPriority w:val="99"/>
    <w:semiHidden/>
    <w:unhideWhenUsed/>
    <w:rsid w:val="004934D0"/>
    <w:rPr>
      <w:vertAlign w:val="superscript"/>
    </w:rPr>
  </w:style>
  <w:style w:type="character" w:customStyle="1" w:styleId="A2">
    <w:name w:val="A2"/>
    <w:uiPriority w:val="99"/>
    <w:rsid w:val="000F3BBA"/>
    <w:rPr>
      <w:rFonts w:cs="Arial Narrow"/>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98C"/>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table" w:styleId="Listaclara">
    <w:name w:val="Light List"/>
    <w:basedOn w:val="Tablanormal"/>
    <w:uiPriority w:val="61"/>
    <w:rsid w:val="00BB6A2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AA3FB5"/>
    <w:pPr>
      <w:autoSpaceDE w:val="0"/>
      <w:autoSpaceDN w:val="0"/>
      <w:adjustRightInd w:val="0"/>
      <w:spacing w:after="0" w:line="240" w:lineRule="auto"/>
    </w:pPr>
    <w:rPr>
      <w:rFonts w:ascii="Arial" w:hAnsi="Arial" w:cs="Arial"/>
      <w:color w:val="000000"/>
      <w:sz w:val="24"/>
      <w:szCs w:val="24"/>
    </w:rPr>
  </w:style>
  <w:style w:type="table" w:customStyle="1" w:styleId="Estilo1">
    <w:name w:val="Estilo1"/>
    <w:basedOn w:val="Tablanormal"/>
    <w:uiPriority w:val="99"/>
    <w:rsid w:val="00AA3FB5"/>
    <w:pPr>
      <w:spacing w:after="0" w:line="240" w:lineRule="auto"/>
    </w:pPr>
    <w:tblPr>
      <w:tblInd w:w="0" w:type="dxa"/>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4934D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934D0"/>
    <w:rPr>
      <w:sz w:val="20"/>
      <w:szCs w:val="20"/>
      <w:lang w:val="en-US"/>
    </w:rPr>
  </w:style>
  <w:style w:type="character" w:styleId="Refdenotaalfinal">
    <w:name w:val="endnote reference"/>
    <w:basedOn w:val="Fuentedeprrafopredeter"/>
    <w:uiPriority w:val="99"/>
    <w:semiHidden/>
    <w:unhideWhenUsed/>
    <w:rsid w:val="004934D0"/>
    <w:rPr>
      <w:vertAlign w:val="superscript"/>
    </w:rPr>
  </w:style>
  <w:style w:type="character" w:customStyle="1" w:styleId="A2">
    <w:name w:val="A2"/>
    <w:uiPriority w:val="99"/>
    <w:rsid w:val="000F3BBA"/>
    <w:rPr>
      <w:rFonts w:cs="Arial Narrow"/>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D47610-EF5D-4DDC-8CD4-F0F7F359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7057</Words>
  <Characters>38815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dc:creator>
  <cp:lastModifiedBy>Usuario</cp:lastModifiedBy>
  <cp:revision>6</cp:revision>
  <cp:lastPrinted>2016-04-27T13:39:00Z</cp:lastPrinted>
  <dcterms:created xsi:type="dcterms:W3CDTF">2017-12-12T12:25:00Z</dcterms:created>
  <dcterms:modified xsi:type="dcterms:W3CDTF">2017-12-12T12:36:00Z</dcterms:modified>
</cp:coreProperties>
</file>