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B7D" w:rsidRDefault="0065571A" w:rsidP="00A72028">
      <w:pPr>
        <w:spacing w:line="360" w:lineRule="auto"/>
        <w:jc w:val="center"/>
      </w:pPr>
      <w:r w:rsidRPr="00480B7D">
        <w:rPr>
          <w:b/>
          <w:sz w:val="28"/>
          <w:szCs w:val="28"/>
        </w:rPr>
        <w:t>MIEDO</w:t>
      </w:r>
      <w:r w:rsidR="007A02C3" w:rsidRPr="00480B7D">
        <w:rPr>
          <w:b/>
          <w:sz w:val="28"/>
          <w:szCs w:val="28"/>
        </w:rPr>
        <w:t xml:space="preserve"> </w:t>
      </w:r>
      <w:r w:rsidR="00424FE1" w:rsidRPr="00480B7D">
        <w:rPr>
          <w:b/>
          <w:sz w:val="28"/>
          <w:szCs w:val="28"/>
        </w:rPr>
        <w:t xml:space="preserve">Y RENDIMIENTO ACADÉMICO </w:t>
      </w:r>
      <w:r w:rsidR="005F44FA" w:rsidRPr="00480B7D">
        <w:rPr>
          <w:b/>
          <w:sz w:val="28"/>
          <w:szCs w:val="28"/>
        </w:rPr>
        <w:t>EN EL CONTEXTO PLURICULTURAL DE CEUTA</w:t>
      </w:r>
      <w:r w:rsidR="00480B7D" w:rsidRPr="00480B7D">
        <w:t xml:space="preserve"> </w:t>
      </w:r>
    </w:p>
    <w:p w:rsidR="00480B7D" w:rsidRDefault="00480B7D" w:rsidP="00A72028">
      <w:pPr>
        <w:spacing w:line="360" w:lineRule="auto"/>
        <w:jc w:val="center"/>
        <w:rPr>
          <w:b/>
          <w:sz w:val="28"/>
          <w:szCs w:val="28"/>
        </w:rPr>
      </w:pPr>
    </w:p>
    <w:p w:rsidR="00831AD2" w:rsidRPr="009F60CB" w:rsidRDefault="00831AD2" w:rsidP="00A72028">
      <w:pPr>
        <w:spacing w:line="360" w:lineRule="auto"/>
        <w:rPr>
          <w:b/>
          <w:sz w:val="28"/>
          <w:szCs w:val="28"/>
        </w:rPr>
      </w:pPr>
    </w:p>
    <w:p w:rsidR="00831AD2" w:rsidRPr="009F60CB" w:rsidRDefault="00831AD2" w:rsidP="00A72028">
      <w:pPr>
        <w:spacing w:line="360" w:lineRule="auto"/>
        <w:rPr>
          <w:b/>
          <w:sz w:val="28"/>
          <w:szCs w:val="28"/>
        </w:rPr>
      </w:pPr>
      <w:r w:rsidRPr="009F60CB">
        <w:rPr>
          <w:b/>
          <w:sz w:val="28"/>
          <w:szCs w:val="28"/>
        </w:rPr>
        <w:t>Federico Pulido Acosta</w:t>
      </w:r>
    </w:p>
    <w:p w:rsidR="00831AD2" w:rsidRPr="009F60CB" w:rsidRDefault="00831AD2" w:rsidP="00A72028">
      <w:pPr>
        <w:spacing w:line="360" w:lineRule="auto"/>
        <w:rPr>
          <w:b/>
          <w:sz w:val="28"/>
          <w:szCs w:val="28"/>
        </w:rPr>
      </w:pPr>
      <w:r w:rsidRPr="009F60CB">
        <w:rPr>
          <w:b/>
          <w:sz w:val="28"/>
          <w:szCs w:val="28"/>
        </w:rPr>
        <w:t>Francisco Herrera Clavero</w:t>
      </w:r>
    </w:p>
    <w:p w:rsidR="00831AD2" w:rsidRPr="009F60CB" w:rsidRDefault="00831AD2" w:rsidP="00A72028">
      <w:pPr>
        <w:spacing w:line="360" w:lineRule="auto"/>
        <w:rPr>
          <w:b/>
          <w:sz w:val="28"/>
          <w:szCs w:val="28"/>
        </w:rPr>
      </w:pPr>
    </w:p>
    <w:p w:rsidR="00831AD2" w:rsidRPr="009F60CB" w:rsidRDefault="00831AD2" w:rsidP="00A72028">
      <w:pPr>
        <w:spacing w:line="360" w:lineRule="auto"/>
        <w:rPr>
          <w:b/>
          <w:sz w:val="28"/>
          <w:szCs w:val="28"/>
        </w:rPr>
      </w:pPr>
      <w:r w:rsidRPr="009F60CB">
        <w:rPr>
          <w:b/>
          <w:sz w:val="28"/>
          <w:szCs w:val="28"/>
        </w:rPr>
        <w:t>Universidad de Granada.</w:t>
      </w:r>
    </w:p>
    <w:p w:rsidR="00831AD2" w:rsidRPr="009F60CB" w:rsidRDefault="00831AD2" w:rsidP="00A72028">
      <w:pPr>
        <w:spacing w:line="360" w:lineRule="auto"/>
        <w:rPr>
          <w:b/>
          <w:sz w:val="28"/>
          <w:szCs w:val="28"/>
        </w:rPr>
      </w:pPr>
    </w:p>
    <w:p w:rsidR="00C07E7E" w:rsidRDefault="00831AD2" w:rsidP="00A72028">
      <w:pPr>
        <w:spacing w:line="360" w:lineRule="auto"/>
        <w:rPr>
          <w:b/>
          <w:sz w:val="28"/>
          <w:szCs w:val="28"/>
        </w:rPr>
      </w:pPr>
      <w:r w:rsidRPr="009F60CB">
        <w:rPr>
          <w:b/>
          <w:sz w:val="28"/>
          <w:szCs w:val="28"/>
        </w:rPr>
        <w:t xml:space="preserve">Federico Pulido Acosta: </w:t>
      </w:r>
    </w:p>
    <w:p w:rsidR="00C07E7E" w:rsidRDefault="00C07E7E" w:rsidP="00A72028">
      <w:pPr>
        <w:spacing w:line="360" w:lineRule="auto"/>
        <w:rPr>
          <w:b/>
          <w:sz w:val="28"/>
          <w:szCs w:val="28"/>
        </w:rPr>
      </w:pPr>
      <w:r>
        <w:rPr>
          <w:b/>
          <w:sz w:val="28"/>
          <w:szCs w:val="28"/>
        </w:rPr>
        <w:t>Dirección postal: Parques d</w:t>
      </w:r>
      <w:r w:rsidR="00300591">
        <w:rPr>
          <w:b/>
          <w:sz w:val="28"/>
          <w:szCs w:val="28"/>
        </w:rPr>
        <w:t>e Ceuta, 2ª fase, portal 3, 8ºC, CP: 51002, Ceuta.</w:t>
      </w:r>
    </w:p>
    <w:p w:rsidR="00831AD2" w:rsidRDefault="00C07E7E" w:rsidP="00A72028">
      <w:pPr>
        <w:spacing w:line="360" w:lineRule="auto"/>
        <w:rPr>
          <w:b/>
          <w:sz w:val="28"/>
          <w:szCs w:val="28"/>
        </w:rPr>
      </w:pPr>
      <w:r>
        <w:rPr>
          <w:b/>
          <w:sz w:val="28"/>
          <w:szCs w:val="28"/>
        </w:rPr>
        <w:t xml:space="preserve">Correo electrónico: </w:t>
      </w:r>
      <w:hyperlink r:id="rId9" w:history="1">
        <w:r w:rsidRPr="00BE61E9">
          <w:rPr>
            <w:rStyle w:val="Hipervnculo"/>
            <w:b/>
            <w:sz w:val="28"/>
            <w:szCs w:val="28"/>
          </w:rPr>
          <w:t>feanor_fede@hotmail.com</w:t>
        </w:r>
      </w:hyperlink>
    </w:p>
    <w:p w:rsidR="00C07E7E" w:rsidRDefault="00AC1272" w:rsidP="00A72028">
      <w:pPr>
        <w:spacing w:line="360" w:lineRule="auto"/>
        <w:rPr>
          <w:b/>
          <w:sz w:val="28"/>
          <w:szCs w:val="28"/>
        </w:rPr>
      </w:pPr>
      <w:r>
        <w:rPr>
          <w:b/>
          <w:sz w:val="28"/>
          <w:szCs w:val="28"/>
        </w:rPr>
        <w:t xml:space="preserve">Francisco Herrera Clavero: </w:t>
      </w:r>
    </w:p>
    <w:p w:rsidR="00C07E7E" w:rsidRDefault="00C07E7E" w:rsidP="00C07E7E">
      <w:pPr>
        <w:spacing w:line="360" w:lineRule="auto"/>
        <w:rPr>
          <w:b/>
          <w:sz w:val="28"/>
          <w:szCs w:val="28"/>
        </w:rPr>
      </w:pPr>
      <w:r w:rsidRPr="00C07E7E">
        <w:rPr>
          <w:b/>
          <w:sz w:val="28"/>
          <w:szCs w:val="28"/>
        </w:rPr>
        <w:t xml:space="preserve">Dirección postal: </w:t>
      </w:r>
      <w:r w:rsidR="00960AD3">
        <w:rPr>
          <w:b/>
          <w:sz w:val="28"/>
          <w:szCs w:val="28"/>
        </w:rPr>
        <w:t xml:space="preserve">Facultad de Educación, Economía y </w:t>
      </w:r>
      <w:r w:rsidR="00300591">
        <w:rPr>
          <w:b/>
          <w:sz w:val="28"/>
          <w:szCs w:val="28"/>
        </w:rPr>
        <w:t>Tecnología de Ceuta, Dpto. de Psicología Evolutiva y de la Educación, Cortadura del Valle, s/n, CP: 51001, Ceuta.</w:t>
      </w:r>
    </w:p>
    <w:p w:rsidR="005507A8" w:rsidRDefault="00C07E7E" w:rsidP="00C07E7E">
      <w:pPr>
        <w:spacing w:line="360" w:lineRule="auto"/>
        <w:rPr>
          <w:b/>
          <w:sz w:val="28"/>
          <w:szCs w:val="28"/>
        </w:rPr>
      </w:pPr>
      <w:r w:rsidRPr="00C07E7E">
        <w:rPr>
          <w:b/>
          <w:sz w:val="28"/>
          <w:szCs w:val="28"/>
        </w:rPr>
        <w:t>Correo electrónico:</w:t>
      </w:r>
      <w:r>
        <w:rPr>
          <w:b/>
          <w:sz w:val="28"/>
          <w:szCs w:val="28"/>
        </w:rPr>
        <w:t xml:space="preserve"> </w:t>
      </w:r>
      <w:hyperlink r:id="rId10" w:history="1">
        <w:r w:rsidRPr="00BE61E9">
          <w:rPr>
            <w:rStyle w:val="Hipervnculo"/>
            <w:b/>
            <w:sz w:val="28"/>
            <w:szCs w:val="28"/>
          </w:rPr>
          <w:t>fherrera@ugr.es</w:t>
        </w:r>
      </w:hyperlink>
    </w:p>
    <w:p w:rsidR="005F44FA" w:rsidRDefault="005F44FA" w:rsidP="00A72028">
      <w:pPr>
        <w:spacing w:line="360" w:lineRule="auto"/>
        <w:rPr>
          <w:rFonts w:ascii="Comic Sans MS" w:hAnsi="Comic Sans MS"/>
          <w:sz w:val="20"/>
          <w:szCs w:val="20"/>
        </w:rPr>
      </w:pPr>
    </w:p>
    <w:p w:rsidR="00C07E7E" w:rsidRPr="009F60CB" w:rsidRDefault="00C07E7E"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5F44FA" w:rsidRPr="009F60CB" w:rsidRDefault="005F44FA" w:rsidP="00A72028">
      <w:pPr>
        <w:spacing w:line="360" w:lineRule="auto"/>
        <w:rPr>
          <w:rFonts w:ascii="Comic Sans MS" w:hAnsi="Comic Sans MS"/>
          <w:sz w:val="20"/>
          <w:szCs w:val="20"/>
        </w:rPr>
      </w:pPr>
    </w:p>
    <w:p w:rsidR="006866B0" w:rsidRDefault="006866B0" w:rsidP="00A72028">
      <w:pPr>
        <w:spacing w:line="360" w:lineRule="auto"/>
        <w:rPr>
          <w:rFonts w:ascii="Comic Sans MS" w:hAnsi="Comic Sans MS"/>
          <w:sz w:val="20"/>
          <w:szCs w:val="20"/>
        </w:rPr>
      </w:pPr>
    </w:p>
    <w:p w:rsidR="00960AD3" w:rsidRDefault="00960AD3" w:rsidP="00A72028">
      <w:pPr>
        <w:spacing w:line="360" w:lineRule="auto"/>
        <w:rPr>
          <w:rFonts w:ascii="Comic Sans MS" w:hAnsi="Comic Sans MS"/>
          <w:sz w:val="20"/>
          <w:szCs w:val="20"/>
        </w:rPr>
      </w:pPr>
      <w:bookmarkStart w:id="0" w:name="_GoBack"/>
      <w:bookmarkEnd w:id="0"/>
    </w:p>
    <w:p w:rsidR="00831AD2" w:rsidRDefault="00831AD2" w:rsidP="00A72028">
      <w:pPr>
        <w:spacing w:line="360" w:lineRule="auto"/>
        <w:jc w:val="center"/>
      </w:pPr>
      <w:r w:rsidRPr="00480B7D">
        <w:rPr>
          <w:b/>
          <w:sz w:val="28"/>
          <w:szCs w:val="28"/>
        </w:rPr>
        <w:lastRenderedPageBreak/>
        <w:t>MIEDO Y RENDIMIENTO ACADÉMICO EN EL CONTEXTO PLURICULTURAL DE CEUTA</w:t>
      </w:r>
      <w:r w:rsidRPr="00480B7D">
        <w:t xml:space="preserve"> </w:t>
      </w:r>
    </w:p>
    <w:p w:rsidR="006866B0" w:rsidRDefault="006866B0" w:rsidP="00A72028">
      <w:pPr>
        <w:spacing w:line="360" w:lineRule="auto"/>
        <w:rPr>
          <w:b/>
        </w:rPr>
      </w:pPr>
    </w:p>
    <w:p w:rsidR="007260B8" w:rsidRDefault="007260B8" w:rsidP="00A72028">
      <w:pPr>
        <w:spacing w:line="360" w:lineRule="auto"/>
        <w:rPr>
          <w:b/>
        </w:rPr>
      </w:pPr>
      <w:r>
        <w:rPr>
          <w:b/>
        </w:rPr>
        <w:t>Resumen</w:t>
      </w:r>
    </w:p>
    <w:p w:rsidR="00831AD2" w:rsidRPr="00F950F0" w:rsidRDefault="00831AD2" w:rsidP="00A72028">
      <w:pPr>
        <w:autoSpaceDE w:val="0"/>
        <w:autoSpaceDN w:val="0"/>
        <w:adjustRightInd w:val="0"/>
        <w:spacing w:line="360" w:lineRule="auto"/>
        <w:ind w:firstLine="708"/>
        <w:jc w:val="both"/>
      </w:pPr>
      <w:r w:rsidRPr="00F950F0">
        <w:t>Este trabajo tiene como objetivo fundamental conocer los tipos, niveles y relaciones del Miedo</w:t>
      </w:r>
      <w:r w:rsidR="007C0979">
        <w:t xml:space="preserve"> </w:t>
      </w:r>
      <w:r w:rsidRPr="00F950F0">
        <w:t xml:space="preserve">y el Rendimiento Académico </w:t>
      </w:r>
      <w:r w:rsidRPr="00480B7D">
        <w:t>de</w:t>
      </w:r>
      <w:r w:rsidR="00417532">
        <w:t>l</w:t>
      </w:r>
      <w:r w:rsidRPr="00480B7D">
        <w:t xml:space="preserve"> </w:t>
      </w:r>
      <w:r w:rsidR="00417532">
        <w:t>alumnado</w:t>
      </w:r>
      <w:r w:rsidRPr="00480B7D">
        <w:t xml:space="preserve"> </w:t>
      </w:r>
      <w:r w:rsidR="00417532">
        <w:t>de</w:t>
      </w:r>
      <w:r w:rsidRPr="00480B7D">
        <w:t xml:space="preserve"> la ciudad de Ceuta. </w:t>
      </w:r>
      <w:r>
        <w:t>S</w:t>
      </w:r>
      <w:r w:rsidRPr="00480B7D">
        <w:t xml:space="preserve">e </w:t>
      </w:r>
      <w:r>
        <w:t>contó</w:t>
      </w:r>
      <w:r w:rsidRPr="00480B7D">
        <w:t xml:space="preserve"> con </w:t>
      </w:r>
      <w:r w:rsidR="00417532">
        <w:t>1186</w:t>
      </w:r>
      <w:r w:rsidRPr="00480B7D">
        <w:t xml:space="preserve"> participantes, de </w:t>
      </w:r>
      <w:r w:rsidR="00417532">
        <w:t>9</w:t>
      </w:r>
      <w:r w:rsidRPr="00480B7D">
        <w:t xml:space="preserve"> centros </w:t>
      </w:r>
      <w:r w:rsidR="00417532">
        <w:t xml:space="preserve">educativos </w:t>
      </w:r>
      <w:r w:rsidRPr="00480B7D">
        <w:t>distintos, que reflejan l</w:t>
      </w:r>
      <w:r>
        <w:t xml:space="preserve">a </w:t>
      </w:r>
      <w:r w:rsidRPr="00480B7D">
        <w:t>pluricultural</w:t>
      </w:r>
      <w:r>
        <w:t>idad</w:t>
      </w:r>
      <w:r w:rsidRPr="00480B7D">
        <w:t xml:space="preserve"> de la ciudad; de los cuales, el 5</w:t>
      </w:r>
      <w:r w:rsidR="00F924C0">
        <w:t>7</w:t>
      </w:r>
      <w:r w:rsidRPr="00480B7D">
        <w:t>,</w:t>
      </w:r>
      <w:r w:rsidR="00F924C0">
        <w:t>8</w:t>
      </w:r>
      <w:r w:rsidRPr="00480B7D">
        <w:t xml:space="preserve">% son </w:t>
      </w:r>
      <w:r w:rsidR="00C010B4">
        <w:t>mujeres</w:t>
      </w:r>
      <w:r w:rsidRPr="00480B7D">
        <w:t xml:space="preserve"> y el  4</w:t>
      </w:r>
      <w:r w:rsidR="00F924C0">
        <w:t>2</w:t>
      </w:r>
      <w:r w:rsidRPr="00480B7D">
        <w:t>,</w:t>
      </w:r>
      <w:r w:rsidR="00F924C0">
        <w:t>2</w:t>
      </w:r>
      <w:r w:rsidRPr="00480B7D">
        <w:t xml:space="preserve">% varones, y el </w:t>
      </w:r>
      <w:r w:rsidR="00F924C0">
        <w:t>5</w:t>
      </w:r>
      <w:r w:rsidRPr="00480B7D">
        <w:t>8,</w:t>
      </w:r>
      <w:r w:rsidR="00F924C0">
        <w:t>9</w:t>
      </w:r>
      <w:r w:rsidRPr="00480B7D">
        <w:t xml:space="preserve">% de cultura/religión musulmana y el </w:t>
      </w:r>
      <w:r w:rsidR="00F924C0">
        <w:t>41,1</w:t>
      </w:r>
      <w:r w:rsidRPr="00480B7D">
        <w:t>% cristian</w:t>
      </w:r>
      <w:r>
        <w:t>os</w:t>
      </w:r>
      <w:r w:rsidRPr="00480B7D">
        <w:t>.</w:t>
      </w:r>
      <w:r w:rsidRPr="00F950F0">
        <w:t xml:space="preserve"> </w:t>
      </w:r>
      <w:r w:rsidRPr="008C2A11">
        <w:t xml:space="preserve">Como instrumentos de evaluación se </w:t>
      </w:r>
      <w:r w:rsidR="00F924C0">
        <w:t>emplearon</w:t>
      </w:r>
      <w:r w:rsidRPr="008C2A11">
        <w:t xml:space="preserve"> </w:t>
      </w:r>
      <w:r w:rsidR="00F924C0">
        <w:t>la ad</w:t>
      </w:r>
      <w:r w:rsidR="007C0979">
        <w:t>a</w:t>
      </w:r>
      <w:r w:rsidR="00F924C0">
        <w:t>ptación</w:t>
      </w:r>
      <w:r w:rsidRPr="008C2A11">
        <w:t xml:space="preserve"> de Ascensio, Vil</w:t>
      </w:r>
      <w:r w:rsidR="00C07E7E">
        <w:t xml:space="preserve">a, Robles-García, Páez, Fresán &amp; </w:t>
      </w:r>
      <w:r w:rsidRPr="008C2A11">
        <w:t xml:space="preserve">Vázquez (2012) del Inventario </w:t>
      </w:r>
      <w:r w:rsidRPr="00F950F0">
        <w:t xml:space="preserve">de Miedo para Niños (FSSC-II) </w:t>
      </w:r>
      <w:r w:rsidR="00F924C0">
        <w:t>y la de Matesanz (2006) del Inventario de Temores (FSS)</w:t>
      </w:r>
      <w:r w:rsidR="007C0979">
        <w:t xml:space="preserve"> y </w:t>
      </w:r>
      <w:r w:rsidRPr="00F950F0">
        <w:t>las calificaciones de los a</w:t>
      </w:r>
      <w:r>
        <w:t>lumnos. Los resultados reflejan</w:t>
      </w:r>
      <w:r w:rsidRPr="00F950F0">
        <w:t xml:space="preserve"> niveles medios </w:t>
      </w:r>
      <w:r w:rsidR="00F924C0">
        <w:t>de Miedo y Rendimiento</w:t>
      </w:r>
      <w:r w:rsidRPr="00F950F0">
        <w:t xml:space="preserve">, influyendo en ellas las sociodemográficas de edad, </w:t>
      </w:r>
      <w:r w:rsidR="00D220A2">
        <w:t>género</w:t>
      </w:r>
      <w:r w:rsidR="00F924C0">
        <w:t xml:space="preserve">, </w:t>
      </w:r>
      <w:r w:rsidRPr="00F950F0">
        <w:t xml:space="preserve">cultura/religión y estatus socio-económico-cultural. </w:t>
      </w:r>
      <w:r>
        <w:t>Existe</w:t>
      </w:r>
      <w:r w:rsidRPr="008C2A11">
        <w:t xml:space="preserve"> relación </w:t>
      </w:r>
      <w:r w:rsidRPr="00F950F0">
        <w:t>entre Miedo y Rendimiento Académico</w:t>
      </w:r>
      <w:r w:rsidR="00F924C0">
        <w:t>, siendo inversamente proporcionales</w:t>
      </w:r>
      <w:r w:rsidRPr="00F950F0">
        <w:t xml:space="preserve">. </w:t>
      </w:r>
    </w:p>
    <w:p w:rsidR="007260B8" w:rsidRDefault="007260B8" w:rsidP="00A72028">
      <w:pPr>
        <w:spacing w:line="360" w:lineRule="auto"/>
        <w:jc w:val="both"/>
      </w:pPr>
      <w:r w:rsidRPr="00F950F0">
        <w:rPr>
          <w:b/>
        </w:rPr>
        <w:t>Palabras Clave:</w:t>
      </w:r>
      <w:r w:rsidRPr="00F950F0">
        <w:t xml:space="preserve"> </w:t>
      </w:r>
      <w:r w:rsidR="0045615F">
        <w:t>m</w:t>
      </w:r>
      <w:r w:rsidRPr="00F950F0">
        <w:t>iedo</w:t>
      </w:r>
      <w:r w:rsidR="0045615F">
        <w:t>; r</w:t>
      </w:r>
      <w:r w:rsidRPr="00F950F0">
        <w:t xml:space="preserve">endimiento </w:t>
      </w:r>
      <w:r w:rsidR="0045615F">
        <w:t>a</w:t>
      </w:r>
      <w:r w:rsidRPr="00F950F0">
        <w:t>cadémico</w:t>
      </w:r>
      <w:r w:rsidR="0045615F">
        <w:t>;</w:t>
      </w:r>
      <w:r w:rsidRPr="00F950F0">
        <w:t xml:space="preserve"> </w:t>
      </w:r>
      <w:r w:rsidR="0045615F">
        <w:t>d</w:t>
      </w:r>
      <w:r w:rsidRPr="00F950F0">
        <w:t>iversidad</w:t>
      </w:r>
      <w:r w:rsidR="0045615F">
        <w:t>;</w:t>
      </w:r>
      <w:r w:rsidRPr="00F950F0">
        <w:t xml:space="preserve"> </w:t>
      </w:r>
      <w:r w:rsidR="0045615F">
        <w:t>c</w:t>
      </w:r>
      <w:r w:rsidRPr="00F950F0">
        <w:t xml:space="preserve">ontexto </w:t>
      </w:r>
      <w:r w:rsidR="0045615F">
        <w:t>p</w:t>
      </w:r>
      <w:r w:rsidRPr="00F950F0">
        <w:t xml:space="preserve">luricultural. </w:t>
      </w:r>
    </w:p>
    <w:p w:rsidR="00831AD2" w:rsidRPr="009F60CB" w:rsidRDefault="00831AD2" w:rsidP="00A72028">
      <w:pPr>
        <w:spacing w:line="360" w:lineRule="auto"/>
        <w:jc w:val="center"/>
        <w:rPr>
          <w:b/>
          <w:sz w:val="28"/>
          <w:szCs w:val="28"/>
        </w:rPr>
      </w:pPr>
    </w:p>
    <w:p w:rsidR="00831AD2" w:rsidRDefault="00831AD2" w:rsidP="00A72028">
      <w:pPr>
        <w:spacing w:line="360" w:lineRule="auto"/>
        <w:jc w:val="center"/>
        <w:rPr>
          <w:b/>
          <w:sz w:val="28"/>
          <w:szCs w:val="28"/>
          <w:lang w:val="en-US"/>
        </w:rPr>
      </w:pPr>
      <w:r w:rsidRPr="00480B7D">
        <w:rPr>
          <w:b/>
          <w:sz w:val="28"/>
          <w:szCs w:val="28"/>
          <w:lang w:val="en-US"/>
        </w:rPr>
        <w:t>FEAR</w:t>
      </w:r>
      <w:r w:rsidR="001A2A8C">
        <w:rPr>
          <w:b/>
          <w:sz w:val="28"/>
          <w:szCs w:val="28"/>
          <w:lang w:val="en-US"/>
        </w:rPr>
        <w:t xml:space="preserve"> </w:t>
      </w:r>
      <w:r w:rsidR="00825741">
        <w:rPr>
          <w:b/>
          <w:sz w:val="28"/>
          <w:szCs w:val="28"/>
          <w:lang w:val="en-US"/>
        </w:rPr>
        <w:t xml:space="preserve">AND </w:t>
      </w:r>
      <w:r>
        <w:rPr>
          <w:b/>
          <w:sz w:val="28"/>
          <w:szCs w:val="28"/>
          <w:lang w:val="en-US"/>
        </w:rPr>
        <w:t xml:space="preserve">ACADEMIC </w:t>
      </w:r>
      <w:r w:rsidRPr="00480B7D">
        <w:rPr>
          <w:b/>
          <w:sz w:val="28"/>
          <w:szCs w:val="28"/>
          <w:lang w:val="en-US"/>
        </w:rPr>
        <w:t>ACHIEVEMENT</w:t>
      </w:r>
      <w:r>
        <w:rPr>
          <w:b/>
          <w:sz w:val="28"/>
          <w:szCs w:val="28"/>
          <w:lang w:val="en-US"/>
        </w:rPr>
        <w:t xml:space="preserve"> </w:t>
      </w:r>
      <w:r w:rsidRPr="00480B7D">
        <w:rPr>
          <w:b/>
          <w:sz w:val="28"/>
          <w:szCs w:val="28"/>
          <w:lang w:val="en-US"/>
        </w:rPr>
        <w:t>IN THE PLURICULTURAL CONTEXT OF CEUTA</w:t>
      </w:r>
    </w:p>
    <w:p w:rsidR="007260B8" w:rsidRPr="004E4623" w:rsidRDefault="00480B7D" w:rsidP="00A72028">
      <w:pPr>
        <w:spacing w:line="360" w:lineRule="auto"/>
        <w:jc w:val="both"/>
        <w:rPr>
          <w:b/>
          <w:lang w:val="en-GB"/>
        </w:rPr>
      </w:pPr>
      <w:r>
        <w:rPr>
          <w:b/>
          <w:lang w:val="en-GB"/>
        </w:rPr>
        <w:t>Abstract</w:t>
      </w:r>
    </w:p>
    <w:p w:rsidR="006E30AE" w:rsidRDefault="00A22CB3" w:rsidP="00A72028">
      <w:pPr>
        <w:spacing w:line="360" w:lineRule="auto"/>
        <w:jc w:val="both"/>
        <w:rPr>
          <w:lang w:val="en-US"/>
        </w:rPr>
      </w:pPr>
      <w:r w:rsidRPr="00A22CB3">
        <w:rPr>
          <w:lang w:val="en-US"/>
        </w:rPr>
        <w:t xml:space="preserve">The main objective of this paper is to reflect the types and levels of </w:t>
      </w:r>
      <w:r>
        <w:rPr>
          <w:lang w:val="en-US"/>
        </w:rPr>
        <w:t>F</w:t>
      </w:r>
      <w:r w:rsidRPr="000F6797">
        <w:rPr>
          <w:lang w:val="en-US"/>
        </w:rPr>
        <w:t>ear</w:t>
      </w:r>
      <w:r w:rsidRPr="00A22CB3">
        <w:rPr>
          <w:lang w:val="en-US"/>
        </w:rPr>
        <w:t xml:space="preserve"> and Academic Achievement (and the influence over each other), of </w:t>
      </w:r>
      <w:r w:rsidR="001A2A8C">
        <w:rPr>
          <w:lang w:val="en-US"/>
        </w:rPr>
        <w:t xml:space="preserve">students </w:t>
      </w:r>
      <w:r w:rsidRPr="00A22CB3">
        <w:rPr>
          <w:lang w:val="en-US"/>
        </w:rPr>
        <w:t xml:space="preserve">in the city of Ceuta. To make it possible we focused </w:t>
      </w:r>
      <w:r w:rsidR="001A2A8C" w:rsidRPr="000F6797">
        <w:rPr>
          <w:lang w:val="en-US"/>
        </w:rPr>
        <w:t xml:space="preserve">on </w:t>
      </w:r>
      <w:r w:rsidR="001A2A8C">
        <w:rPr>
          <w:lang w:val="en-US"/>
        </w:rPr>
        <w:t>1186 participants from 9</w:t>
      </w:r>
      <w:r w:rsidR="001A2A8C" w:rsidRPr="001A2A8C">
        <w:rPr>
          <w:lang w:val="en-US"/>
        </w:rPr>
        <w:t xml:space="preserve"> different educational institutions</w:t>
      </w:r>
      <w:r w:rsidR="001A2A8C" w:rsidRPr="000F6797">
        <w:rPr>
          <w:lang w:val="en-US"/>
        </w:rPr>
        <w:t xml:space="preserve"> that clearly reflect the city's </w:t>
      </w:r>
      <w:r w:rsidR="001A2A8C">
        <w:rPr>
          <w:lang w:val="en-US"/>
        </w:rPr>
        <w:t>pluri</w:t>
      </w:r>
      <w:r w:rsidR="001A2A8C" w:rsidRPr="000F6797">
        <w:rPr>
          <w:lang w:val="en-US"/>
        </w:rPr>
        <w:t>cultural features; 4</w:t>
      </w:r>
      <w:r w:rsidR="001A2A8C">
        <w:rPr>
          <w:lang w:val="en-US"/>
        </w:rPr>
        <w:t>2.2</w:t>
      </w:r>
      <w:r w:rsidR="001A2A8C" w:rsidRPr="000F6797">
        <w:rPr>
          <w:lang w:val="en-US"/>
        </w:rPr>
        <w:t>% of them are b</w:t>
      </w:r>
      <w:r w:rsidR="001A2A8C">
        <w:rPr>
          <w:lang w:val="en-US"/>
        </w:rPr>
        <w:t>oys and 57.8% girls; 58.9</w:t>
      </w:r>
      <w:r w:rsidR="001A2A8C" w:rsidRPr="000F6797">
        <w:rPr>
          <w:lang w:val="en-US"/>
        </w:rPr>
        <w:t xml:space="preserve">% of the total are </w:t>
      </w:r>
      <w:r w:rsidR="001A2A8C">
        <w:rPr>
          <w:lang w:val="en-US"/>
        </w:rPr>
        <w:t>M</w:t>
      </w:r>
      <w:r w:rsidR="001A2A8C" w:rsidRPr="000F6797">
        <w:rPr>
          <w:lang w:val="en-US"/>
        </w:rPr>
        <w:t xml:space="preserve">uslims and </w:t>
      </w:r>
      <w:r w:rsidR="001A2A8C">
        <w:rPr>
          <w:lang w:val="en-US"/>
        </w:rPr>
        <w:t>4</w:t>
      </w:r>
      <w:r w:rsidR="001A2A8C" w:rsidRPr="000F6797">
        <w:rPr>
          <w:lang w:val="en-US"/>
        </w:rPr>
        <w:t>1.</w:t>
      </w:r>
      <w:r w:rsidR="001A2A8C">
        <w:rPr>
          <w:lang w:val="en-US"/>
        </w:rPr>
        <w:t>1</w:t>
      </w:r>
      <w:r w:rsidR="001A2A8C" w:rsidRPr="000F6797">
        <w:rPr>
          <w:lang w:val="en-US"/>
        </w:rPr>
        <w:t>% Christians.</w:t>
      </w:r>
      <w:r w:rsidR="001A2A8C">
        <w:rPr>
          <w:lang w:val="en-US"/>
        </w:rPr>
        <w:t xml:space="preserve"> </w:t>
      </w:r>
      <w:r w:rsidR="001A2A8C" w:rsidRPr="001A2A8C">
        <w:rPr>
          <w:lang w:val="en-US"/>
        </w:rPr>
        <w:t>The techniques used in this survey are FSSC-II, adapted by Ascensi</w:t>
      </w:r>
      <w:r w:rsidR="00C07E7E">
        <w:rPr>
          <w:lang w:val="en-US"/>
        </w:rPr>
        <w:t>o et al. (2012), the Matesanz</w:t>
      </w:r>
      <w:r w:rsidR="001A2A8C">
        <w:rPr>
          <w:lang w:val="en-US"/>
        </w:rPr>
        <w:t xml:space="preserve"> </w:t>
      </w:r>
      <w:r w:rsidR="001A2A8C" w:rsidRPr="001A2A8C">
        <w:rPr>
          <w:lang w:val="en-US"/>
        </w:rPr>
        <w:t>(2006) adaptation of FSS</w:t>
      </w:r>
      <w:r w:rsidRPr="00A22CB3">
        <w:rPr>
          <w:lang w:val="en-US"/>
        </w:rPr>
        <w:t xml:space="preserve"> as well as the children's grades. </w:t>
      </w:r>
      <w:r w:rsidR="006E30AE" w:rsidRPr="000F6797">
        <w:rPr>
          <w:lang w:val="en-US"/>
        </w:rPr>
        <w:t>The results show medium</w:t>
      </w:r>
      <w:r w:rsidR="00B822DB">
        <w:rPr>
          <w:lang w:val="en-US"/>
        </w:rPr>
        <w:t xml:space="preserve"> levels on Fear and Achievement, </w:t>
      </w:r>
      <w:r w:rsidR="006E30AE" w:rsidRPr="000F6797">
        <w:rPr>
          <w:lang w:val="en-US"/>
        </w:rPr>
        <w:t xml:space="preserve">and they are influenced </w:t>
      </w:r>
      <w:r w:rsidR="006E30AE">
        <w:rPr>
          <w:lang w:val="en-US"/>
        </w:rPr>
        <w:t>b</w:t>
      </w:r>
      <w:r w:rsidR="006E30AE" w:rsidRPr="000F6797">
        <w:rPr>
          <w:lang w:val="en-US"/>
        </w:rPr>
        <w:t xml:space="preserve">y the sociodemographic factors </w:t>
      </w:r>
      <w:r w:rsidR="006E30AE">
        <w:rPr>
          <w:lang w:val="en-US"/>
        </w:rPr>
        <w:t xml:space="preserve">of </w:t>
      </w:r>
      <w:r w:rsidR="006E30AE" w:rsidRPr="000F6797">
        <w:rPr>
          <w:lang w:val="en-US"/>
        </w:rPr>
        <w:t xml:space="preserve">age, </w:t>
      </w:r>
      <w:r w:rsidR="00B822DB">
        <w:rPr>
          <w:lang w:val="en-US"/>
        </w:rPr>
        <w:t xml:space="preserve">gender, </w:t>
      </w:r>
      <w:r w:rsidR="006E30AE" w:rsidRPr="000F6797">
        <w:rPr>
          <w:lang w:val="en-US"/>
        </w:rPr>
        <w:t>customs/religion and socioeconomic and cultural.</w:t>
      </w:r>
      <w:r w:rsidR="006E30AE">
        <w:rPr>
          <w:lang w:val="en-US"/>
        </w:rPr>
        <w:t xml:space="preserve"> </w:t>
      </w:r>
      <w:r w:rsidR="006E30AE" w:rsidRPr="000F6797">
        <w:rPr>
          <w:lang w:val="en-US"/>
        </w:rPr>
        <w:t xml:space="preserve">We have also found a </w:t>
      </w:r>
      <w:r w:rsidR="006E30AE">
        <w:rPr>
          <w:lang w:val="en-US"/>
        </w:rPr>
        <w:t>r</w:t>
      </w:r>
      <w:r w:rsidR="006E30AE" w:rsidRPr="000F6797">
        <w:rPr>
          <w:lang w:val="en-US"/>
        </w:rPr>
        <w:t xml:space="preserve">elationship between </w:t>
      </w:r>
      <w:r w:rsidR="001A2A8C">
        <w:rPr>
          <w:lang w:val="en-US"/>
        </w:rPr>
        <w:t>F</w:t>
      </w:r>
      <w:r w:rsidR="006E30AE" w:rsidRPr="000F6797">
        <w:rPr>
          <w:lang w:val="en-US"/>
        </w:rPr>
        <w:t xml:space="preserve">ear and </w:t>
      </w:r>
      <w:r w:rsidR="006E30AE">
        <w:rPr>
          <w:lang w:val="en-US"/>
        </w:rPr>
        <w:t>A</w:t>
      </w:r>
      <w:r w:rsidR="006E30AE" w:rsidRPr="000F6797">
        <w:rPr>
          <w:lang w:val="en-US"/>
        </w:rPr>
        <w:t xml:space="preserve">cademic </w:t>
      </w:r>
      <w:r w:rsidR="006E30AE">
        <w:rPr>
          <w:lang w:val="en-US"/>
        </w:rPr>
        <w:t>A</w:t>
      </w:r>
      <w:r w:rsidR="006E30AE" w:rsidRPr="000F6797">
        <w:rPr>
          <w:lang w:val="en-US"/>
        </w:rPr>
        <w:t>chievement.</w:t>
      </w:r>
      <w:r w:rsidR="006E30AE">
        <w:rPr>
          <w:lang w:val="en-US"/>
        </w:rPr>
        <w:t xml:space="preserve">  </w:t>
      </w:r>
    </w:p>
    <w:p w:rsidR="007260B8" w:rsidRPr="000F6797" w:rsidRDefault="007260B8" w:rsidP="00A72028">
      <w:pPr>
        <w:spacing w:line="360" w:lineRule="auto"/>
        <w:jc w:val="both"/>
        <w:rPr>
          <w:lang w:val="en-US"/>
        </w:rPr>
      </w:pPr>
      <w:r w:rsidRPr="00EF1BCC">
        <w:rPr>
          <w:b/>
          <w:lang w:val="en-US"/>
        </w:rPr>
        <w:t>Keywords:</w:t>
      </w:r>
      <w:r w:rsidRPr="000F6797">
        <w:rPr>
          <w:lang w:val="en-US"/>
        </w:rPr>
        <w:t xml:space="preserve"> </w:t>
      </w:r>
      <w:r w:rsidR="001A2A8C">
        <w:rPr>
          <w:lang w:val="en-US"/>
        </w:rPr>
        <w:t>f</w:t>
      </w:r>
      <w:r w:rsidRPr="000F6797">
        <w:rPr>
          <w:lang w:val="en-US"/>
        </w:rPr>
        <w:t>ear</w:t>
      </w:r>
      <w:r w:rsidR="001A2A8C">
        <w:rPr>
          <w:lang w:val="en-US"/>
        </w:rPr>
        <w:t>;</w:t>
      </w:r>
      <w:r w:rsidRPr="000F6797">
        <w:rPr>
          <w:lang w:val="en-US"/>
        </w:rPr>
        <w:t xml:space="preserve"> </w:t>
      </w:r>
      <w:r w:rsidR="001A2A8C">
        <w:rPr>
          <w:lang w:val="en-US"/>
        </w:rPr>
        <w:t>a</w:t>
      </w:r>
      <w:r w:rsidRPr="000F6797">
        <w:rPr>
          <w:lang w:val="en-US"/>
        </w:rPr>
        <w:t xml:space="preserve">cademic </w:t>
      </w:r>
      <w:r w:rsidR="001A2A8C">
        <w:rPr>
          <w:lang w:val="en-US"/>
        </w:rPr>
        <w:t>a</w:t>
      </w:r>
      <w:r w:rsidRPr="000F6797">
        <w:rPr>
          <w:lang w:val="en-US"/>
        </w:rPr>
        <w:t>chievement</w:t>
      </w:r>
      <w:r w:rsidR="001A2A8C">
        <w:rPr>
          <w:lang w:val="en-US"/>
        </w:rPr>
        <w:t>;</w:t>
      </w:r>
      <w:r w:rsidRPr="000F6797">
        <w:rPr>
          <w:lang w:val="en-US"/>
        </w:rPr>
        <w:t xml:space="preserve"> </w:t>
      </w:r>
      <w:r w:rsidR="001A2A8C">
        <w:rPr>
          <w:lang w:val="en-US"/>
        </w:rPr>
        <w:t>d</w:t>
      </w:r>
      <w:r w:rsidRPr="000F6797">
        <w:rPr>
          <w:lang w:val="en-US"/>
        </w:rPr>
        <w:t>iversity</w:t>
      </w:r>
      <w:r w:rsidR="001A2A8C">
        <w:rPr>
          <w:lang w:val="en-US"/>
        </w:rPr>
        <w:t>;</w:t>
      </w:r>
      <w:r w:rsidRPr="000F6797">
        <w:rPr>
          <w:lang w:val="en-US"/>
        </w:rPr>
        <w:t xml:space="preserve"> </w:t>
      </w:r>
      <w:r w:rsidR="001A2A8C">
        <w:rPr>
          <w:lang w:val="en-US"/>
        </w:rPr>
        <w:t>p</w:t>
      </w:r>
      <w:r w:rsidR="006E30AE">
        <w:rPr>
          <w:lang w:val="en-US"/>
        </w:rPr>
        <w:t>luricultural</w:t>
      </w:r>
      <w:r w:rsidRPr="000F6797">
        <w:rPr>
          <w:lang w:val="en-US"/>
        </w:rPr>
        <w:t xml:space="preserve"> </w:t>
      </w:r>
      <w:r w:rsidR="001A2A8C">
        <w:rPr>
          <w:lang w:val="en-US"/>
        </w:rPr>
        <w:t>c</w:t>
      </w:r>
      <w:r w:rsidRPr="000F6797">
        <w:rPr>
          <w:lang w:val="en-US"/>
        </w:rPr>
        <w:t>ontext.</w:t>
      </w:r>
    </w:p>
    <w:p w:rsidR="005F44FA" w:rsidRPr="00480B7D" w:rsidRDefault="005F44FA" w:rsidP="00A72028">
      <w:pPr>
        <w:spacing w:line="360" w:lineRule="auto"/>
        <w:rPr>
          <w:rFonts w:ascii="Comic Sans MS" w:hAnsi="Comic Sans MS"/>
          <w:b/>
          <w:sz w:val="20"/>
          <w:szCs w:val="20"/>
          <w:lang w:val="en-US"/>
        </w:rPr>
      </w:pPr>
    </w:p>
    <w:p w:rsidR="00231054" w:rsidRPr="00B55CE8" w:rsidRDefault="005F1B1E" w:rsidP="00A72028">
      <w:pPr>
        <w:spacing w:line="360" w:lineRule="auto"/>
        <w:rPr>
          <w:b/>
        </w:rPr>
      </w:pPr>
      <w:r w:rsidRPr="00B55CE8">
        <w:rPr>
          <w:b/>
        </w:rPr>
        <w:lastRenderedPageBreak/>
        <w:t>I</w:t>
      </w:r>
      <w:r w:rsidR="00BE0F0F">
        <w:rPr>
          <w:b/>
        </w:rPr>
        <w:t>N</w:t>
      </w:r>
      <w:r w:rsidR="00423053">
        <w:rPr>
          <w:b/>
        </w:rPr>
        <w:t>TRODUCCIÓN</w:t>
      </w:r>
    </w:p>
    <w:p w:rsidR="00885B45" w:rsidRPr="00885B45" w:rsidRDefault="00885B45" w:rsidP="00885B45">
      <w:pPr>
        <w:autoSpaceDE w:val="0"/>
        <w:autoSpaceDN w:val="0"/>
        <w:adjustRightInd w:val="0"/>
        <w:spacing w:line="360" w:lineRule="auto"/>
        <w:ind w:firstLine="708"/>
        <w:jc w:val="both"/>
      </w:pPr>
      <w:r>
        <w:rPr>
          <w:iCs/>
        </w:rPr>
        <w:t>E</w:t>
      </w:r>
      <w:r w:rsidRPr="00885B45">
        <w:rPr>
          <w:iCs/>
        </w:rPr>
        <w:t xml:space="preserve">xiste una enorme preocupación por el bajo rendimiento en las diferentes áreas académicas, lo que promueve la búsqueda de nuevas fórmulas de actuación docente. La Educación Adaptativa plantea que el éxito o el fracaso escolar dependen del ajuste del método educativo a las diferencias individuales del estudiante, proponiéndose </w:t>
      </w:r>
      <w:r w:rsidRPr="00885B45">
        <w:rPr>
          <w:rFonts w:cs="Palatino Linotype"/>
          <w:color w:val="000000"/>
        </w:rPr>
        <w:t>lograr que todo el alumnado alcance los objetivos básicos de la etapa, atendiendo específicamente a la diversidad en un marco sociocultural cambiante,  ofreciéndose una respuesta educativa ajustada a las demandas que plantea cada situación (García-García, Biencinto-López, Ca</w:t>
      </w:r>
      <w:r w:rsidR="00C07E7E">
        <w:rPr>
          <w:rFonts w:cs="Palatino Linotype"/>
          <w:color w:val="000000"/>
        </w:rPr>
        <w:t>rpintero-Molina, Núñez-del-Río &amp;</w:t>
      </w:r>
      <w:r w:rsidRPr="00885B45">
        <w:rPr>
          <w:rFonts w:cs="Palatino Linotype"/>
          <w:color w:val="000000"/>
        </w:rPr>
        <w:t xml:space="preserve"> Arteaga-Martínez, 2013).</w:t>
      </w:r>
      <w:r w:rsidR="0047622C">
        <w:rPr>
          <w:rFonts w:cs="Palatino Linotype"/>
          <w:color w:val="000000"/>
        </w:rPr>
        <w:t xml:space="preserve"> Desde esta perspectiva, con preocupación por los escasos logros académicos,</w:t>
      </w:r>
      <w:r w:rsidRPr="00885B45">
        <w:rPr>
          <w:rFonts w:cs="Palatino Linotype"/>
          <w:color w:val="000000"/>
        </w:rPr>
        <w:t xml:space="preserve"> </w:t>
      </w:r>
      <w:r w:rsidR="0047622C">
        <w:rPr>
          <w:rFonts w:cs="Palatino Linotype"/>
          <w:color w:val="000000"/>
        </w:rPr>
        <w:t>se pone de relieve la enorme importancia que pueden llegar a tener las emociones y su adecuado control para la mejora del mismo.</w:t>
      </w:r>
    </w:p>
    <w:p w:rsidR="007260B8" w:rsidRPr="00485F01" w:rsidRDefault="00C37ECE" w:rsidP="00A72028">
      <w:pPr>
        <w:autoSpaceDE w:val="0"/>
        <w:autoSpaceDN w:val="0"/>
        <w:adjustRightInd w:val="0"/>
        <w:spacing w:line="360" w:lineRule="auto"/>
        <w:ind w:firstLine="708"/>
        <w:jc w:val="both"/>
      </w:pPr>
      <w:r w:rsidRPr="00C37ECE">
        <w:t xml:space="preserve">Tradicionalmente, se tendía a vivir como si todo dependiera de nuestro exterior, de elementos que están fuera de nosotros mismos. Dentro de esos elementos internos, los estados emocionales comienzan a adquirir una importancia cada vez mayor, llegando a integrar una realidad, de la que siempre se había dudado. </w:t>
      </w:r>
      <w:r>
        <w:t xml:space="preserve">Se reclama parte de la </w:t>
      </w:r>
      <w:r w:rsidR="007260B8" w:rsidRPr="00485F01">
        <w:t xml:space="preserve">importancia </w:t>
      </w:r>
      <w:r>
        <w:t xml:space="preserve">dada </w:t>
      </w:r>
      <w:r w:rsidR="007260B8" w:rsidRPr="00485F01">
        <w:t>a la Inteligencia Racional, aleja</w:t>
      </w:r>
      <w:r>
        <w:t>da</w:t>
      </w:r>
      <w:r w:rsidR="007260B8" w:rsidRPr="00485F01">
        <w:t xml:space="preserve"> de la consideración como única capacidad estática. </w:t>
      </w:r>
      <w:r>
        <w:t xml:space="preserve">Considerándola </w:t>
      </w:r>
      <w:r w:rsidR="007260B8" w:rsidRPr="00485F01">
        <w:t>como un conjunto amplio y dinámico de diferentes habilidades enmarcadas en ámbitos distintos</w:t>
      </w:r>
      <w:r>
        <w:t xml:space="preserve">, </w:t>
      </w:r>
      <w:r w:rsidR="007260B8" w:rsidRPr="00485F01">
        <w:t xml:space="preserve">nos centramos en una de las capacidades concretas, la relacionada con el ámbito de las emociones. </w:t>
      </w:r>
    </w:p>
    <w:p w:rsidR="007260B8" w:rsidRPr="00485F01" w:rsidRDefault="00615CEF" w:rsidP="00A72028">
      <w:pPr>
        <w:autoSpaceDE w:val="0"/>
        <w:autoSpaceDN w:val="0"/>
        <w:adjustRightInd w:val="0"/>
        <w:spacing w:line="360" w:lineRule="auto"/>
        <w:ind w:firstLine="708"/>
        <w:jc w:val="both"/>
      </w:pPr>
      <w:r>
        <w:t xml:space="preserve">Al </w:t>
      </w:r>
      <w:r w:rsidR="007260B8" w:rsidRPr="00485F01">
        <w:t>considerar el concepto de emoción</w:t>
      </w:r>
      <w:r w:rsidR="000B739E">
        <w:t>, se toman como partida</w:t>
      </w:r>
      <w:r w:rsidR="007260B8" w:rsidRPr="00485F01">
        <w:t xml:space="preserve"> las concepciones de autores como </w:t>
      </w:r>
      <w:r w:rsidR="00FF16F3">
        <w:t xml:space="preserve">Goleman (1996) y </w:t>
      </w:r>
      <w:r w:rsidR="007260B8" w:rsidRPr="00485F01">
        <w:t xml:space="preserve">Sroufe (2000), centradas en tres componentes cruciales: componente experiencial-cognitivo, componente fisiológico y reacción conductual, de carácter adaptativo. </w:t>
      </w:r>
      <w:r w:rsidR="000B739E">
        <w:t>Desde esta perspectiva</w:t>
      </w:r>
      <w:r w:rsidR="007260B8" w:rsidRPr="00485F01">
        <w:t xml:space="preserve">, una emoción consiste en el análisis perceptivo y/o cognitivo de una situación que desencadena un correlato fisiológico y, que a su vez, tiene una función adaptativa al influir en la conducta del sujeto ante el medio y los demás y que es vivenciada como tal.  </w:t>
      </w:r>
    </w:p>
    <w:p w:rsidR="0071349D" w:rsidRDefault="00A15436" w:rsidP="0071349D">
      <w:pPr>
        <w:autoSpaceDE w:val="0"/>
        <w:autoSpaceDN w:val="0"/>
        <w:adjustRightInd w:val="0"/>
        <w:spacing w:line="360" w:lineRule="auto"/>
        <w:ind w:firstLine="708"/>
        <w:jc w:val="both"/>
      </w:pPr>
      <w:r>
        <w:t>Se pone el foco,</w:t>
      </w:r>
      <w:r w:rsidR="007260B8" w:rsidRPr="0050095D">
        <w:t xml:space="preserve"> ahora</w:t>
      </w:r>
      <w:r>
        <w:t>,</w:t>
      </w:r>
      <w:r w:rsidR="007260B8" w:rsidRPr="0050095D">
        <w:t xml:space="preserve"> en una de estas emociones: el miedo. Se considera que el miedo es una emoción específica básica y como tal, incorpora todos los componentes fundamentales de ésta. </w:t>
      </w:r>
      <w:r>
        <w:t>Tiene especial</w:t>
      </w:r>
      <w:r w:rsidR="007260B8" w:rsidRPr="0050095D">
        <w:t xml:space="preserve"> relevancia </w:t>
      </w:r>
      <w:r>
        <w:t>e</w:t>
      </w:r>
      <w:r w:rsidR="007260B8" w:rsidRPr="0050095D">
        <w:t>l componente adaptativo, que ha sido esencial para la supervivencia de la especie. Otra de las características fundamentales es que se trata de una reacción negativa o de carácter desagradable. Así, el miedo es una emoción de marcado carácter negativo, que se inicia en el procesamiento de estímulos, desencadenando una ca</w:t>
      </w:r>
      <w:r w:rsidR="007E17BC">
        <w:t xml:space="preserve">scada fisiológica y conductual y con </w:t>
      </w:r>
      <w:r w:rsidR="00086ACF">
        <w:t>una finalidad adaptativa.</w:t>
      </w:r>
    </w:p>
    <w:p w:rsidR="00885B45" w:rsidRDefault="0071349D" w:rsidP="0071349D">
      <w:pPr>
        <w:autoSpaceDE w:val="0"/>
        <w:autoSpaceDN w:val="0"/>
        <w:adjustRightInd w:val="0"/>
        <w:spacing w:line="360" w:lineRule="auto"/>
        <w:ind w:firstLine="708"/>
        <w:jc w:val="both"/>
      </w:pPr>
      <w:r>
        <w:lastRenderedPageBreak/>
        <w:t xml:space="preserve">Finalmente se considera </w:t>
      </w:r>
      <w:r w:rsidRPr="00485F01">
        <w:t>el Rendimiento Académico</w:t>
      </w:r>
      <w:r>
        <w:t xml:space="preserve">, </w:t>
      </w:r>
      <w:r w:rsidRPr="00485F01">
        <w:t>refer</w:t>
      </w:r>
      <w:r>
        <w:t>ido</w:t>
      </w:r>
      <w:r w:rsidRPr="00485F01">
        <w:t xml:space="preserve"> al nivel de conocimientos y destrezas escola</w:t>
      </w:r>
      <w:r w:rsidRPr="00485F01">
        <w:softHyphen/>
        <w:t>res exhibi</w:t>
      </w:r>
      <w:r w:rsidRPr="00485F01">
        <w:softHyphen/>
        <w:t xml:space="preserve">dos por los estudiantes. </w:t>
      </w:r>
      <w:r>
        <w:t>Como indicativo del Rendimiento Académico, en el presente trabajo, se han e</w:t>
      </w:r>
      <w:r w:rsidRPr="00485F01">
        <w:t>mplea</w:t>
      </w:r>
      <w:r>
        <w:t>do</w:t>
      </w:r>
      <w:r w:rsidRPr="00485F01">
        <w:t xml:space="preserve"> las calificacione</w:t>
      </w:r>
      <w:r>
        <w:t xml:space="preserve">s escolares, considerando </w:t>
      </w:r>
      <w:r w:rsidRPr="00485F01">
        <w:t xml:space="preserve">a </w:t>
      </w:r>
      <w:r w:rsidRPr="008C4857">
        <w:t xml:space="preserve">Gómez Castro (1986, p. 269), ya que </w:t>
      </w:r>
      <w:r w:rsidRPr="008C4857">
        <w:rPr>
          <w:iCs/>
        </w:rPr>
        <w:t>“</w:t>
      </w:r>
      <w:r w:rsidRPr="008C4857">
        <w:rPr>
          <w:i/>
          <w:iCs/>
        </w:rPr>
        <w:t>al comparar los resultados de las calificaciones objetivas a través de una prueba estandarizada y las que otorgan los profeso</w:t>
      </w:r>
      <w:r w:rsidRPr="008C4857">
        <w:rPr>
          <w:i/>
          <w:iCs/>
        </w:rPr>
        <w:softHyphen/>
        <w:t>res, indica cierta asociación entre ellas. Todas las correlaciones obtenidas entre las distintas subpruebas y las calificaciones son estadísticamente significativas (p&gt;.01)”</w:t>
      </w:r>
      <w:r w:rsidRPr="008C4857">
        <w:rPr>
          <w:iCs/>
        </w:rPr>
        <w:t>.</w:t>
      </w:r>
      <w:r w:rsidRPr="00485F01">
        <w:rPr>
          <w:iCs/>
        </w:rPr>
        <w:t xml:space="preserve"> </w:t>
      </w:r>
      <w:r w:rsidRPr="00485F01">
        <w:t xml:space="preserve"> </w:t>
      </w:r>
    </w:p>
    <w:p w:rsidR="00456FF6" w:rsidRPr="00F075CE" w:rsidRDefault="00625EBD" w:rsidP="00A72028">
      <w:pPr>
        <w:autoSpaceDE w:val="0"/>
        <w:autoSpaceDN w:val="0"/>
        <w:adjustRightInd w:val="0"/>
        <w:spacing w:line="360" w:lineRule="auto"/>
        <w:ind w:firstLine="708"/>
        <w:jc w:val="both"/>
      </w:pPr>
      <w:r>
        <w:t xml:space="preserve">Todo esto queda </w:t>
      </w:r>
      <w:r w:rsidR="00F075CE" w:rsidRPr="00F075CE">
        <w:t>enfoca</w:t>
      </w:r>
      <w:r>
        <w:t xml:space="preserve">do </w:t>
      </w:r>
      <w:r w:rsidR="00F075CE" w:rsidRPr="00F075CE">
        <w:t>a</w:t>
      </w:r>
      <w:r w:rsidR="00456FF6" w:rsidRPr="00F075CE">
        <w:t xml:space="preserve">l ámbito </w:t>
      </w:r>
      <w:r w:rsidR="00550564">
        <w:t>educativo</w:t>
      </w:r>
      <w:r w:rsidR="00456FF6" w:rsidRPr="00F075CE">
        <w:t xml:space="preserve">, concretamente </w:t>
      </w:r>
      <w:r w:rsidR="00550564">
        <w:t xml:space="preserve">desde </w:t>
      </w:r>
      <w:r w:rsidR="00456FF6" w:rsidRPr="00F075CE">
        <w:t>el periodo que corresponde a la etapa de Educación Primaria</w:t>
      </w:r>
      <w:r w:rsidR="00550564">
        <w:t xml:space="preserve">, pasando por la Secundaria hasta llegar al ámbito universitario en </w:t>
      </w:r>
      <w:r w:rsidR="00456FF6" w:rsidRPr="00F075CE">
        <w:t xml:space="preserve">la ciudad de Ceuta. De esta manera, </w:t>
      </w:r>
      <w:r w:rsidR="0071349D">
        <w:t xml:space="preserve">se hace un estudio a lo largo de todo el proceso educativo, en un entorno que </w:t>
      </w:r>
      <w:r w:rsidR="00550564">
        <w:t>destaca por</w:t>
      </w:r>
      <w:r w:rsidR="00456FF6" w:rsidRPr="00F075CE">
        <w:t xml:space="preserve"> la diversidad cultural que caracteriza a </w:t>
      </w:r>
      <w:r>
        <w:t xml:space="preserve">la </w:t>
      </w:r>
      <w:r w:rsidR="00456FF6" w:rsidRPr="00F075CE">
        <w:t>población</w:t>
      </w:r>
      <w:r w:rsidR="0071349D">
        <w:t>, con las diferencias que, en otros factores, la acompaña</w:t>
      </w:r>
      <w:r w:rsidR="00456FF6" w:rsidRPr="00F075CE">
        <w:t xml:space="preserve">. </w:t>
      </w:r>
    </w:p>
    <w:p w:rsidR="00456FF6" w:rsidRPr="00F075CE" w:rsidRDefault="00456FF6" w:rsidP="00A72028">
      <w:pPr>
        <w:autoSpaceDE w:val="0"/>
        <w:autoSpaceDN w:val="0"/>
        <w:adjustRightInd w:val="0"/>
        <w:spacing w:line="360" w:lineRule="auto"/>
        <w:ind w:firstLine="708"/>
        <w:jc w:val="both"/>
      </w:pPr>
      <w:r w:rsidRPr="00F075CE">
        <w:t xml:space="preserve">Considerando todo lo mencionado, </w:t>
      </w:r>
      <w:r w:rsidR="00625EBD">
        <w:t>se presenta</w:t>
      </w:r>
      <w:r w:rsidRPr="00F075CE">
        <w:t xml:space="preserve"> el estudio llevado a cabo con una muestra de </w:t>
      </w:r>
      <w:r w:rsidR="00550564">
        <w:t>estudiantes</w:t>
      </w:r>
      <w:r w:rsidRPr="00F075CE">
        <w:t xml:space="preserve"> escolarizados en centros de primaria</w:t>
      </w:r>
      <w:r w:rsidR="00550564">
        <w:t>, secundaria y la universidad</w:t>
      </w:r>
      <w:r w:rsidRPr="00F075CE">
        <w:t xml:space="preserve"> de la ciudad de Ceuta. </w:t>
      </w:r>
      <w:r w:rsidR="0068706D" w:rsidRPr="0068706D">
        <w:t xml:space="preserve">Los objetivos del mismo </w:t>
      </w:r>
      <w:r w:rsidR="0068706D">
        <w:t>han sido</w:t>
      </w:r>
      <w:r w:rsidRPr="00F075CE">
        <w:t xml:space="preserve"> conocer y analizar qué tipos y niveles de Miedo </w:t>
      </w:r>
      <w:r w:rsidR="00424FE1" w:rsidRPr="00F075CE">
        <w:t xml:space="preserve">y Rendimiento Académico </w:t>
      </w:r>
      <w:r w:rsidRPr="00F075CE">
        <w:t xml:space="preserve">tiene este alumnado, en función de variables como el </w:t>
      </w:r>
      <w:r w:rsidR="00D220A2">
        <w:t>género</w:t>
      </w:r>
      <w:r w:rsidRPr="00F075CE">
        <w:t>, la edad, la cultura y su estatus socio-económico y cultural</w:t>
      </w:r>
      <w:r w:rsidR="0068706D">
        <w:t xml:space="preserve">, así como </w:t>
      </w:r>
      <w:r w:rsidRPr="00F075CE">
        <w:t xml:space="preserve">conocer y analizar qué relación existe entre </w:t>
      </w:r>
      <w:r w:rsidR="00424FE1" w:rsidRPr="00F075CE">
        <w:t>las mencionadas variables</w:t>
      </w:r>
      <w:r w:rsidRPr="00F075CE">
        <w:t>.</w:t>
      </w:r>
    </w:p>
    <w:p w:rsidR="00550564" w:rsidRDefault="00550564" w:rsidP="00A72028">
      <w:pPr>
        <w:spacing w:line="360" w:lineRule="auto"/>
        <w:rPr>
          <w:b/>
        </w:rPr>
      </w:pPr>
    </w:p>
    <w:p w:rsidR="003B6940" w:rsidRDefault="003B6940" w:rsidP="00A72028">
      <w:pPr>
        <w:spacing w:line="360" w:lineRule="auto"/>
        <w:rPr>
          <w:b/>
        </w:rPr>
      </w:pPr>
    </w:p>
    <w:p w:rsidR="00613F54" w:rsidRDefault="00CD52E4" w:rsidP="00A72028">
      <w:pPr>
        <w:spacing w:line="360" w:lineRule="auto"/>
        <w:rPr>
          <w:b/>
        </w:rPr>
      </w:pPr>
      <w:r>
        <w:rPr>
          <w:b/>
        </w:rPr>
        <w:t>M</w:t>
      </w:r>
      <w:r w:rsidR="0071349D">
        <w:rPr>
          <w:b/>
        </w:rPr>
        <w:t>ÉTODO</w:t>
      </w:r>
    </w:p>
    <w:p w:rsidR="0071349D" w:rsidRDefault="0071349D" w:rsidP="00A72028">
      <w:pPr>
        <w:spacing w:line="360" w:lineRule="auto"/>
        <w:rPr>
          <w:b/>
        </w:rPr>
      </w:pPr>
    </w:p>
    <w:p w:rsidR="008B23C1" w:rsidRPr="000E3E0B" w:rsidRDefault="008B23C1" w:rsidP="00A72028">
      <w:pPr>
        <w:spacing w:line="360" w:lineRule="auto"/>
        <w:rPr>
          <w:b/>
        </w:rPr>
      </w:pPr>
      <w:r>
        <w:rPr>
          <w:b/>
        </w:rPr>
        <w:t>Participantes</w:t>
      </w:r>
    </w:p>
    <w:p w:rsidR="007437A5" w:rsidRDefault="007437A5" w:rsidP="00A72028">
      <w:pPr>
        <w:autoSpaceDE w:val="0"/>
        <w:autoSpaceDN w:val="0"/>
        <w:adjustRightInd w:val="0"/>
        <w:spacing w:line="360" w:lineRule="auto"/>
        <w:ind w:firstLine="708"/>
        <w:jc w:val="both"/>
      </w:pPr>
      <w:r w:rsidRPr="007437A5">
        <w:t xml:space="preserve">Para </w:t>
      </w:r>
      <w:r>
        <w:t>llevar a cabo</w:t>
      </w:r>
      <w:r w:rsidRPr="007437A5">
        <w:t xml:space="preserve"> est</w:t>
      </w:r>
      <w:r>
        <w:t>a</w:t>
      </w:r>
      <w:r w:rsidRPr="007437A5">
        <w:t xml:space="preserve"> </w:t>
      </w:r>
      <w:r>
        <w:t>investigación</w:t>
      </w:r>
      <w:r w:rsidRPr="007437A5">
        <w:t xml:space="preserve"> se seleccionó una muestra integrada por </w:t>
      </w:r>
      <w:r w:rsidR="003B6940">
        <w:t>1186</w:t>
      </w:r>
      <w:r w:rsidRPr="007437A5">
        <w:t xml:space="preserve"> participantes que reflejan las características de</w:t>
      </w:r>
      <w:r>
        <w:t>l</w:t>
      </w:r>
      <w:r w:rsidRPr="007437A5">
        <w:t xml:space="preserve"> contexto pluricultural</w:t>
      </w:r>
      <w:r>
        <w:t xml:space="preserve"> de Ceuta. Se</w:t>
      </w:r>
      <w:r w:rsidRPr="007437A5">
        <w:t xml:space="preserve"> repart</w:t>
      </w:r>
      <w:r>
        <w:t xml:space="preserve">en </w:t>
      </w:r>
      <w:r w:rsidRPr="007437A5">
        <w:t xml:space="preserve">entre los </w:t>
      </w:r>
      <w:r w:rsidR="003B6940">
        <w:t>9 c</w:t>
      </w:r>
      <w:r w:rsidRPr="007437A5">
        <w:t xml:space="preserve">entros </w:t>
      </w:r>
      <w:r w:rsidR="003B6940">
        <w:t xml:space="preserve">educativos </w:t>
      </w:r>
      <w:r w:rsidRPr="007437A5">
        <w:t xml:space="preserve">que participaron de manera voluntaria. </w:t>
      </w:r>
      <w:r w:rsidR="003B6940">
        <w:t xml:space="preserve">4 de </w:t>
      </w:r>
      <w:r w:rsidR="00B05388">
        <w:t>ellos son de Educación P</w:t>
      </w:r>
      <w:r w:rsidR="003B6940">
        <w:t>rimaria</w:t>
      </w:r>
      <w:r w:rsidR="00B05388">
        <w:t xml:space="preserve">, </w:t>
      </w:r>
      <w:r w:rsidR="003B6940">
        <w:t xml:space="preserve">4 de </w:t>
      </w:r>
      <w:r w:rsidR="00B05388">
        <w:t>S</w:t>
      </w:r>
      <w:r w:rsidR="003B6940">
        <w:t>ecundaria</w:t>
      </w:r>
      <w:r w:rsidR="00B05388">
        <w:t>, a los que hay que añadir el a</w:t>
      </w:r>
      <w:r w:rsidR="003B6940">
        <w:t xml:space="preserve">lumnado de la Facultad de Educación y Humanidades de Ceuta. </w:t>
      </w:r>
      <w:r w:rsidRPr="007437A5">
        <w:t xml:space="preserve">El </w:t>
      </w:r>
      <w:r w:rsidR="00135871">
        <w:t>3</w:t>
      </w:r>
      <w:r w:rsidRPr="007437A5">
        <w:t>4</w:t>
      </w:r>
      <w:r w:rsidR="00135871">
        <w:t>% de la muestra correspondía a</w:t>
      </w:r>
      <w:r w:rsidRPr="007437A5">
        <w:t xml:space="preserve"> Centro</w:t>
      </w:r>
      <w:r w:rsidR="00135871">
        <w:t>s</w:t>
      </w:r>
      <w:r w:rsidRPr="007437A5">
        <w:t xml:space="preserve"> </w:t>
      </w:r>
      <w:r w:rsidR="00135871">
        <w:t>de Educación Infantil y Primaria (alumnado infantil), el 47% a Institutos de Enseñanza Secundaria (alumnado adolescente) y el restante 19</w:t>
      </w:r>
      <w:r w:rsidRPr="007437A5">
        <w:t xml:space="preserve">% </w:t>
      </w:r>
      <w:r w:rsidR="00135871">
        <w:t xml:space="preserve">al ámbito universitario (alumnado adulto). </w:t>
      </w:r>
      <w:r w:rsidR="00DD4921" w:rsidRPr="007437A5">
        <w:t xml:space="preserve">Considerando la cultura (que se corresponde con la religión), el grupo mayoritario es el de participantes pertenecientes a la cultura-religión musulmana. </w:t>
      </w:r>
      <w:r w:rsidR="00DD4921" w:rsidRPr="007437A5">
        <w:lastRenderedPageBreak/>
        <w:t xml:space="preserve">Estos constituyen el </w:t>
      </w:r>
      <w:r w:rsidR="00966806">
        <w:t>5</w:t>
      </w:r>
      <w:r w:rsidR="00DD4921" w:rsidRPr="007437A5">
        <w:t>8</w:t>
      </w:r>
      <w:r w:rsidR="00B05388">
        <w:t>.</w:t>
      </w:r>
      <w:r w:rsidR="00966806">
        <w:t>9</w:t>
      </w:r>
      <w:r w:rsidR="00DD4921" w:rsidRPr="007437A5">
        <w:t xml:space="preserve">% de la muestra, mientras que el </w:t>
      </w:r>
      <w:r w:rsidR="00966806">
        <w:t>4</w:t>
      </w:r>
      <w:r w:rsidR="00DD4921" w:rsidRPr="007437A5">
        <w:t>1</w:t>
      </w:r>
      <w:r w:rsidR="00B05388">
        <w:t>.</w:t>
      </w:r>
      <w:r w:rsidR="00966806">
        <w:t>1</w:t>
      </w:r>
      <w:r w:rsidR="00DD4921" w:rsidRPr="007437A5">
        <w:t xml:space="preserve">% de la misma pertenecía a la cultura-religión cristiana. Esto representa las dos culturas mayoritarias en nuestra ciudad y conforman el contexto pluricultural que la caracteriza. </w:t>
      </w:r>
      <w:r w:rsidRPr="007437A5">
        <w:t xml:space="preserve">Describiendo la muestra, en función de la variable </w:t>
      </w:r>
      <w:r w:rsidR="00D220A2">
        <w:t>género</w:t>
      </w:r>
      <w:r w:rsidRPr="007437A5">
        <w:t xml:space="preserve">, se dan porcentajes </w:t>
      </w:r>
      <w:r w:rsidR="00966806">
        <w:t>parecidos</w:t>
      </w:r>
      <w:r w:rsidRPr="007437A5">
        <w:t>, siendo el 4</w:t>
      </w:r>
      <w:r w:rsidR="00966806">
        <w:t>2</w:t>
      </w:r>
      <w:r w:rsidR="00B05388">
        <w:t>.</w:t>
      </w:r>
      <w:r w:rsidR="00966806">
        <w:t>2</w:t>
      </w:r>
      <w:r w:rsidRPr="007437A5">
        <w:t xml:space="preserve">% </w:t>
      </w:r>
      <w:r w:rsidR="00966806">
        <w:t>varones</w:t>
      </w:r>
      <w:r w:rsidRPr="007437A5">
        <w:t xml:space="preserve"> y el rest</w:t>
      </w:r>
      <w:r w:rsidR="00DD4921">
        <w:t>o de la muestra (5</w:t>
      </w:r>
      <w:r w:rsidR="00966806">
        <w:t>7</w:t>
      </w:r>
      <w:r w:rsidR="00B05388">
        <w:t>.</w:t>
      </w:r>
      <w:r w:rsidR="00966806">
        <w:t>8</w:t>
      </w:r>
      <w:r w:rsidR="00DD4921">
        <w:t xml:space="preserve">%) </w:t>
      </w:r>
      <w:r w:rsidR="004C3106">
        <w:t>mujeres</w:t>
      </w:r>
      <w:r w:rsidR="00DD4921">
        <w:t xml:space="preserve">. </w:t>
      </w:r>
      <w:r w:rsidR="00112A12">
        <w:t>E</w:t>
      </w:r>
      <w:r w:rsidR="00112A12" w:rsidRPr="00112A12">
        <w:t xml:space="preserve">n función de la variable Estatus socio-económico y cultural, </w:t>
      </w:r>
      <w:r w:rsidR="00112A12">
        <w:t>s</w:t>
      </w:r>
      <w:r w:rsidR="00112A12" w:rsidRPr="00112A12">
        <w:t>e observa un 15</w:t>
      </w:r>
      <w:r w:rsidR="00112A12">
        <w:t>.</w:t>
      </w:r>
      <w:r w:rsidR="00112A12" w:rsidRPr="00112A12">
        <w:t>2% correspondiente a un estatus bajo</w:t>
      </w:r>
      <w:r w:rsidR="00112A12">
        <w:t>,</w:t>
      </w:r>
      <w:r w:rsidR="00112A12" w:rsidRPr="00112A12">
        <w:t xml:space="preserve"> un 31% con un estatus medio-bajo, un 43</w:t>
      </w:r>
      <w:r w:rsidR="00112A12">
        <w:t>.</w:t>
      </w:r>
      <w:r w:rsidR="00112A12" w:rsidRPr="00112A12">
        <w:t xml:space="preserve">2% con un estatus socioeconómico y cultural medio y el restante 10,6% con un estatus alto. </w:t>
      </w:r>
      <w:r w:rsidRPr="007437A5">
        <w:t xml:space="preserve">Los participantes se seleccionaron por el método de muestreo incidental o casual, donde los integrantes de la muestra fueron aquellos alumnos que voluntariamente respondieron a los cuestionarios pasados en su momento. El error muestral </w:t>
      </w:r>
      <w:r w:rsidR="00DD4921">
        <w:t xml:space="preserve">fue </w:t>
      </w:r>
      <w:r w:rsidRPr="007437A5">
        <w:t>del 3%.</w:t>
      </w:r>
    </w:p>
    <w:p w:rsidR="008B23C1" w:rsidRDefault="008B23C1" w:rsidP="00A72028">
      <w:pPr>
        <w:autoSpaceDE w:val="0"/>
        <w:autoSpaceDN w:val="0"/>
        <w:adjustRightInd w:val="0"/>
        <w:spacing w:line="360" w:lineRule="auto"/>
        <w:ind w:firstLine="708"/>
        <w:jc w:val="both"/>
      </w:pPr>
    </w:p>
    <w:p w:rsidR="008B23C1" w:rsidRPr="008B23C1" w:rsidRDefault="008B23C1" w:rsidP="00A72028">
      <w:pPr>
        <w:autoSpaceDE w:val="0"/>
        <w:autoSpaceDN w:val="0"/>
        <w:adjustRightInd w:val="0"/>
        <w:spacing w:line="360" w:lineRule="auto"/>
        <w:jc w:val="both"/>
        <w:rPr>
          <w:b/>
        </w:rPr>
      </w:pPr>
      <w:r w:rsidRPr="008B23C1">
        <w:rPr>
          <w:b/>
        </w:rPr>
        <w:t>Instrumentos</w:t>
      </w:r>
    </w:p>
    <w:p w:rsidR="007D120D" w:rsidRDefault="00540C49" w:rsidP="00A72028">
      <w:pPr>
        <w:autoSpaceDE w:val="0"/>
        <w:autoSpaceDN w:val="0"/>
        <w:adjustRightInd w:val="0"/>
        <w:spacing w:line="360" w:lineRule="auto"/>
        <w:ind w:firstLine="708"/>
        <w:jc w:val="both"/>
      </w:pPr>
      <w:r>
        <w:t xml:space="preserve">Para la evaluación del </w:t>
      </w:r>
      <w:r w:rsidR="00371237" w:rsidRPr="00371237">
        <w:t>miedo se empleó el Inventario de Miedos para Niños (FSSC-II), en su adaptación al español</w:t>
      </w:r>
      <w:r w:rsidR="00BE0F0F">
        <w:t xml:space="preserve"> por</w:t>
      </w:r>
      <w:r w:rsidR="00BE0F0F" w:rsidRPr="00BE0F0F">
        <w:t xml:space="preserve"> Ascen</w:t>
      </w:r>
      <w:r w:rsidR="00C07E7E">
        <w:t>sio</w:t>
      </w:r>
      <w:r w:rsidR="00BE0F0F">
        <w:t xml:space="preserve"> et al. (2012)</w:t>
      </w:r>
      <w:r w:rsidR="00371237" w:rsidRPr="00371237">
        <w:t xml:space="preserve">. Su alta fiabilidad queda reflejada por un alpha de Cronbach de 0.955 para la muestra infantil y de 0.957 para la muestra adolescente. Para la clasificación de los ítems por factores, se obtuvieron 5 en cada grupo, los especificados en el cuestionario original. Los ítems quedan agrupados de la siguiente forma: dentro del primer factor quedan encuadrados los miedos provocados por lo desconocido y lo extraño. El segundo factor obtenido se relaciona con el miedo a la muerte. El tercero incluye aquellos ítems vinculados a animales y peligros. Los dos últimos tienen un peso menor y se relacionan respectivamente con la crítica y el engaño (en infantil) y los miedos médicos (adolescentes) y con miedos desencadenados por temas referidos a la escuela (5 ítems). Todos ellos dan una varianza total explicada del 43.61% y 40.07% respectivamente. Para la muestra adulta se empleó la adaptación del FSS empleada en Matesanz (2006), cuya fiabilidad viene determinada por un alpha de Cronbach de 0.953. Los factores obtenidos fueron 6, organizados de la siguiente forma: el primero de los factores presenta 34 ítems, relacionados con animales y peligro y lo desconocido, el segundo, relacionado con la crítica y la evaluación social negativa integra un total de 23 ítems. En tercer lugar, el factor queda constituido por 19 ítems, que se relacionan con situaciones sanitarias (miedos médicos). Para el cuarto factor (pensamientos obsesivos) los ítems son 16. En el caso del quinto, se relacionan con situaciones ocurridas en espacios amplios y abiertos, siendo 21 los ítems que pertenecen a esta categoría, mientras que </w:t>
      </w:r>
      <w:r w:rsidR="00371237" w:rsidRPr="00371237">
        <w:lastRenderedPageBreak/>
        <w:t>para el último (10), serían ítems relacionados con el género. Todos ellos dan una varianza total explicada del 31.69%.</w:t>
      </w:r>
      <w:r w:rsidR="00371237">
        <w:t xml:space="preserve"> </w:t>
      </w:r>
      <w:r w:rsidR="000D41E4">
        <w:t>Finalmente se emplearon las calificaciones medida</w:t>
      </w:r>
      <w:r w:rsidR="008A5521">
        <w:t>s</w:t>
      </w:r>
      <w:r w:rsidR="007D120D" w:rsidRPr="00485F01">
        <w:t xml:space="preserve"> del Rendimiento Académico</w:t>
      </w:r>
      <w:r w:rsidR="000D41E4">
        <w:t>,</w:t>
      </w:r>
      <w:r w:rsidR="007D120D" w:rsidRPr="00485F01">
        <w:t xml:space="preserve"> </w:t>
      </w:r>
      <w:r w:rsidR="000D41E4">
        <w:t xml:space="preserve">siguiendo </w:t>
      </w:r>
      <w:r w:rsidR="007D120D" w:rsidRPr="00485F01">
        <w:t>el, ya mencionado, estudio de Gómez Castro (1986).</w:t>
      </w:r>
      <w:r w:rsidR="001C11C3" w:rsidRPr="001C11C3">
        <w:t xml:space="preserve"> Dado que existía diversidad en cuanto a las materias evaluadas, se reagruparon conformando 6 categorías diferentes. En este  sentido, los bloques empleados fueron los siguientes: La Materia 1, estuvo compuesta por las asignaturas de Lengua Castellana (Primaria y Secundaria) y Psicología/Métodos Cuantitativos</w:t>
      </w:r>
      <w:r w:rsidR="00C07E7E">
        <w:t xml:space="preserve"> en el caso de los adultos. La </w:t>
      </w:r>
      <w:r w:rsidR="001C11C3" w:rsidRPr="001C11C3">
        <w:t>Materia 2 integra las asignaturas de Matemáticas (Primaria y Secundaria) y Sociología/Creación de Empresas en la Universidad. La Materia 3 queda conformada por Conocimiento del Medio (Primaria), Ciencias Sociales (Secundaria) y Educación Artística/Contabilidad Financiera en la Facultad de Educación y Humanidades. Para la Materia 4 se unen las asignaturas de Inglés así como por Didáctica/Contabilidad de Costes (en la población Adulta). La Materia 5 la forman Religión/Ciudadanía (Primaria y Secundaria) y Organización. Para la Materia 6, dado que en Primaria sólo se recogió la calificación de 5 asignaturas, esta última materia queda integrada por Ciencias Naturales (Adolescentes) y Educación (Adultos).</w:t>
      </w:r>
    </w:p>
    <w:p w:rsidR="00540C49" w:rsidRDefault="00540C49" w:rsidP="00540C49">
      <w:pPr>
        <w:spacing w:line="360" w:lineRule="auto"/>
        <w:rPr>
          <w:b/>
        </w:rPr>
      </w:pPr>
    </w:p>
    <w:p w:rsidR="00540C49" w:rsidRPr="00485F01" w:rsidRDefault="00540C49" w:rsidP="00540C49">
      <w:pPr>
        <w:spacing w:line="360" w:lineRule="auto"/>
      </w:pPr>
      <w:r>
        <w:rPr>
          <w:b/>
        </w:rPr>
        <w:t>Procedimientos</w:t>
      </w:r>
    </w:p>
    <w:p w:rsidR="002C5F6E" w:rsidRDefault="004D154B" w:rsidP="00A72028">
      <w:pPr>
        <w:autoSpaceDE w:val="0"/>
        <w:autoSpaceDN w:val="0"/>
        <w:adjustRightInd w:val="0"/>
        <w:spacing w:line="360" w:lineRule="auto"/>
        <w:ind w:firstLine="708"/>
        <w:jc w:val="both"/>
        <w:rPr>
          <w:bCs/>
        </w:rPr>
      </w:pPr>
      <w:r w:rsidRPr="00485F01">
        <w:t xml:space="preserve">Una vez construida la base de datos, </w:t>
      </w:r>
      <w:r w:rsidR="00421DA5">
        <w:t>se comenzó</w:t>
      </w:r>
      <w:r>
        <w:t xml:space="preserve"> por </w:t>
      </w:r>
      <w:r w:rsidRPr="00485F01">
        <w:t>e</w:t>
      </w:r>
      <w:r>
        <w:t>l</w:t>
      </w:r>
      <w:r w:rsidRPr="00485F01">
        <w:t xml:space="preserve"> análisis descriptiv</w:t>
      </w:r>
      <w:r>
        <w:t>o</w:t>
      </w:r>
      <w:r w:rsidRPr="00485F01">
        <w:t xml:space="preserve">, </w:t>
      </w:r>
      <w:r w:rsidR="009C1595">
        <w:t xml:space="preserve">del que se utilizan los </w:t>
      </w:r>
      <w:r w:rsidRPr="00485F01">
        <w:rPr>
          <w:bCs/>
        </w:rPr>
        <w:t xml:space="preserve">porcentajes alcanzados de manera general y en función de </w:t>
      </w:r>
      <w:r w:rsidR="009C1595">
        <w:rPr>
          <w:bCs/>
        </w:rPr>
        <w:t xml:space="preserve">las variables sociodemográficas, a través de </w:t>
      </w:r>
      <w:r w:rsidRPr="00485F01">
        <w:rPr>
          <w:bCs/>
        </w:rPr>
        <w:t xml:space="preserve">tablas de contingencia. También </w:t>
      </w:r>
      <w:r w:rsidR="009C1595">
        <w:rPr>
          <w:bCs/>
        </w:rPr>
        <w:t xml:space="preserve">se referencian </w:t>
      </w:r>
      <w:r>
        <w:rPr>
          <w:bCs/>
        </w:rPr>
        <w:t>a</w:t>
      </w:r>
      <w:r w:rsidRPr="00485F01">
        <w:rPr>
          <w:bCs/>
        </w:rPr>
        <w:t>l</w:t>
      </w:r>
      <w:r>
        <w:rPr>
          <w:bCs/>
        </w:rPr>
        <w:t>gun</w:t>
      </w:r>
      <w:r w:rsidRPr="00485F01">
        <w:rPr>
          <w:bCs/>
        </w:rPr>
        <w:t>as representaciones</w:t>
      </w:r>
      <w:r w:rsidR="009C1595">
        <w:rPr>
          <w:bCs/>
        </w:rPr>
        <w:t xml:space="preserve"> gráficas</w:t>
      </w:r>
      <w:r w:rsidRPr="00485F01">
        <w:rPr>
          <w:bCs/>
        </w:rPr>
        <w:t xml:space="preserve">. Para comprobar el nivel de significación de los datos se ha utilizado la prueba de Chi-cuadrado de Pearson, a nivel de significación de </w:t>
      </w:r>
      <w:r w:rsidR="00540C49" w:rsidRPr="00540C49">
        <w:rPr>
          <w:bCs/>
          <w:i/>
        </w:rPr>
        <w:t>p</w:t>
      </w:r>
      <w:r w:rsidRPr="00485F01">
        <w:rPr>
          <w:bCs/>
        </w:rPr>
        <w:t xml:space="preserve">=0.05 junto con ANOVAS de un factor con pruebas “Pos-hoc”. </w:t>
      </w:r>
      <w:r w:rsidR="009C1595" w:rsidRPr="00421DA5">
        <w:rPr>
          <w:bCs/>
        </w:rPr>
        <w:t>Finalmente se muestran los resultados de la regresión múltiple paso a paso o "stepwise"</w:t>
      </w:r>
      <w:r w:rsidR="009C1595">
        <w:rPr>
          <w:bCs/>
        </w:rPr>
        <w:t xml:space="preserve"> realizada. </w:t>
      </w:r>
      <w:r w:rsidR="009C1595" w:rsidRPr="00421DA5">
        <w:rPr>
          <w:bCs/>
        </w:rPr>
        <w:t>El análisis completo</w:t>
      </w:r>
      <w:r w:rsidR="009C1595">
        <w:rPr>
          <w:bCs/>
        </w:rPr>
        <w:t xml:space="preserve"> que ha sido posible gracias a</w:t>
      </w:r>
      <w:r w:rsidRPr="00485F01">
        <w:t xml:space="preserve">l programa informático </w:t>
      </w:r>
      <w:r w:rsidRPr="00485F01">
        <w:rPr>
          <w:bCs/>
        </w:rPr>
        <w:t>Statistical Package for Social Sciences (SPSS 20, 2012)</w:t>
      </w:r>
      <w:r w:rsidR="009C1595">
        <w:rPr>
          <w:bCs/>
        </w:rPr>
        <w:t xml:space="preserve"> </w:t>
      </w:r>
      <w:r w:rsidR="00540C49">
        <w:rPr>
          <w:bCs/>
        </w:rPr>
        <w:t xml:space="preserve">que </w:t>
      </w:r>
      <w:r w:rsidR="00421DA5" w:rsidRPr="00421DA5">
        <w:rPr>
          <w:bCs/>
        </w:rPr>
        <w:t xml:space="preserve">ha </w:t>
      </w:r>
      <w:r w:rsidR="009C1595">
        <w:rPr>
          <w:bCs/>
        </w:rPr>
        <w:t>permitido</w:t>
      </w:r>
      <w:r w:rsidR="00421DA5" w:rsidRPr="00421DA5">
        <w:rPr>
          <w:bCs/>
        </w:rPr>
        <w:t xml:space="preserve"> la comprobación del comportamiento de la muestra desde la perspectiva </w:t>
      </w:r>
      <w:r w:rsidR="009C1595">
        <w:rPr>
          <w:bCs/>
        </w:rPr>
        <w:t>las variables sociodemográficas</w:t>
      </w:r>
      <w:r w:rsidR="00421DA5" w:rsidRPr="00421DA5">
        <w:rPr>
          <w:bCs/>
        </w:rPr>
        <w:t xml:space="preserve">, así como la interacción entre </w:t>
      </w:r>
      <w:r w:rsidR="009C1595">
        <w:rPr>
          <w:bCs/>
        </w:rPr>
        <w:t>las variables de estudio</w:t>
      </w:r>
      <w:r w:rsidR="00421DA5" w:rsidRPr="00421DA5">
        <w:rPr>
          <w:bCs/>
        </w:rPr>
        <w:t>.</w:t>
      </w:r>
    </w:p>
    <w:p w:rsidR="009C1595" w:rsidRPr="000E3E0B" w:rsidRDefault="009C1595" w:rsidP="00A72028">
      <w:pPr>
        <w:autoSpaceDE w:val="0"/>
        <w:autoSpaceDN w:val="0"/>
        <w:adjustRightInd w:val="0"/>
        <w:spacing w:line="360" w:lineRule="auto"/>
        <w:ind w:firstLine="708"/>
        <w:jc w:val="both"/>
        <w:rPr>
          <w:bCs/>
        </w:rPr>
      </w:pPr>
    </w:p>
    <w:p w:rsidR="00613F54" w:rsidRPr="009A267A" w:rsidRDefault="003B5859" w:rsidP="00A72028">
      <w:pPr>
        <w:spacing w:line="360" w:lineRule="auto"/>
        <w:rPr>
          <w:b/>
        </w:rPr>
      </w:pPr>
      <w:r w:rsidRPr="009A267A">
        <w:rPr>
          <w:b/>
        </w:rPr>
        <w:t>R</w:t>
      </w:r>
      <w:r w:rsidR="00540C49">
        <w:rPr>
          <w:b/>
        </w:rPr>
        <w:t>ESULTADOS</w:t>
      </w:r>
    </w:p>
    <w:p w:rsidR="00F526D2" w:rsidRPr="00F526D2" w:rsidRDefault="00F526D2" w:rsidP="00A72028">
      <w:pPr>
        <w:autoSpaceDE w:val="0"/>
        <w:autoSpaceDN w:val="0"/>
        <w:adjustRightInd w:val="0"/>
        <w:spacing w:line="360" w:lineRule="auto"/>
        <w:ind w:firstLine="708"/>
        <w:jc w:val="both"/>
      </w:pPr>
      <w:r w:rsidRPr="00F526D2">
        <w:t>Para la variable Miedo, la opción de poco miedo, con los porcentajes más altos (43</w:t>
      </w:r>
      <w:r w:rsidR="00D87DA5">
        <w:t>.</w:t>
      </w:r>
      <w:r w:rsidRPr="00F526D2">
        <w:t>6%), es la que alcanza la mayor par</w:t>
      </w:r>
      <w:r>
        <w:t xml:space="preserve">te de la muestra. La siguiente </w:t>
      </w:r>
      <w:r w:rsidRPr="00F526D2">
        <w:t>es la que refleja bastante miedo, alcanzada por el 31</w:t>
      </w:r>
      <w:r w:rsidR="00D87DA5">
        <w:t>.</w:t>
      </w:r>
      <w:r w:rsidRPr="00F526D2">
        <w:t xml:space="preserve">6% de la muestra total. Esto hace que las opciones </w:t>
      </w:r>
      <w:r w:rsidRPr="00F526D2">
        <w:lastRenderedPageBreak/>
        <w:t>centrales, sean las predominantes</w:t>
      </w:r>
      <w:r>
        <w:t xml:space="preserve">, siendo </w:t>
      </w:r>
      <w:r w:rsidRPr="00F526D2">
        <w:t>el nivel general de miedo medio-bajo</w:t>
      </w:r>
      <w:r>
        <w:t>. T</w:t>
      </w:r>
      <w:r w:rsidRPr="00F526D2">
        <w:t>an sólo un 5% de la muestra alcanzó puntuaciones que quedan dentro de la opción mucho miedo (los porcentajes menores). Con porcentajes más altos, que la opción anterior (mucho), aparece la que menos nivel de miedo refleja (19</w:t>
      </w:r>
      <w:r w:rsidR="00D87DA5">
        <w:t>.</w:t>
      </w:r>
      <w:r w:rsidRPr="00F526D2">
        <w:t>1%). Esta realidad queda reflejada a través del siguiente gráfico:</w:t>
      </w:r>
    </w:p>
    <w:p w:rsidR="00B44777" w:rsidRDefault="00D87DA5" w:rsidP="00A72028">
      <w:pPr>
        <w:autoSpaceDE w:val="0"/>
        <w:autoSpaceDN w:val="0"/>
        <w:adjustRightInd w:val="0"/>
        <w:spacing w:line="360" w:lineRule="auto"/>
        <w:jc w:val="center"/>
        <w:rPr>
          <w:b/>
          <w:sz w:val="20"/>
          <w:szCs w:val="20"/>
        </w:rPr>
      </w:pPr>
      <w:r w:rsidRPr="00754B3D">
        <w:rPr>
          <w:noProof/>
        </w:rPr>
        <w:drawing>
          <wp:anchor distT="0" distB="0" distL="114300" distR="114300" simplePos="0" relativeHeight="251686912" behindDoc="1" locked="0" layoutInCell="1" allowOverlap="1" wp14:anchorId="0B6A4C21" wp14:editId="07F73E65">
            <wp:simplePos x="0" y="0"/>
            <wp:positionH relativeFrom="column">
              <wp:posOffset>1453515</wp:posOffset>
            </wp:positionH>
            <wp:positionV relativeFrom="paragraph">
              <wp:posOffset>133350</wp:posOffset>
            </wp:positionV>
            <wp:extent cx="2787015" cy="222885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7015" cy="222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B44777">
        <w:rPr>
          <w:b/>
          <w:sz w:val="20"/>
          <w:szCs w:val="20"/>
        </w:rPr>
        <w:t>Gráfico 1. Miedo Total</w:t>
      </w:r>
    </w:p>
    <w:p w:rsidR="00B44777" w:rsidRDefault="00B44777" w:rsidP="00A72028">
      <w:pPr>
        <w:autoSpaceDE w:val="0"/>
        <w:autoSpaceDN w:val="0"/>
        <w:adjustRightInd w:val="0"/>
        <w:spacing w:line="360" w:lineRule="auto"/>
      </w:pPr>
    </w:p>
    <w:p w:rsidR="00B44777" w:rsidRDefault="00B44777" w:rsidP="00A72028">
      <w:pPr>
        <w:autoSpaceDE w:val="0"/>
        <w:autoSpaceDN w:val="0"/>
        <w:adjustRightInd w:val="0"/>
        <w:spacing w:line="360" w:lineRule="auto"/>
      </w:pPr>
    </w:p>
    <w:p w:rsidR="00B44777" w:rsidRDefault="00B44777" w:rsidP="00A72028">
      <w:pPr>
        <w:autoSpaceDE w:val="0"/>
        <w:autoSpaceDN w:val="0"/>
        <w:adjustRightInd w:val="0"/>
        <w:spacing w:line="360" w:lineRule="auto"/>
      </w:pPr>
    </w:p>
    <w:p w:rsidR="00B44777" w:rsidRDefault="00B44777" w:rsidP="00A72028">
      <w:pPr>
        <w:autoSpaceDE w:val="0"/>
        <w:autoSpaceDN w:val="0"/>
        <w:adjustRightInd w:val="0"/>
        <w:spacing w:line="360" w:lineRule="auto"/>
      </w:pPr>
    </w:p>
    <w:p w:rsidR="00B44777" w:rsidRDefault="00B44777" w:rsidP="00A72028">
      <w:pPr>
        <w:autoSpaceDE w:val="0"/>
        <w:autoSpaceDN w:val="0"/>
        <w:adjustRightInd w:val="0"/>
        <w:spacing w:line="360" w:lineRule="auto"/>
      </w:pPr>
    </w:p>
    <w:p w:rsidR="00B44777" w:rsidRDefault="00B44777" w:rsidP="00A72028">
      <w:pPr>
        <w:autoSpaceDE w:val="0"/>
        <w:autoSpaceDN w:val="0"/>
        <w:adjustRightInd w:val="0"/>
        <w:spacing w:line="360" w:lineRule="auto"/>
        <w:jc w:val="both"/>
      </w:pPr>
    </w:p>
    <w:p w:rsidR="00B44777" w:rsidRDefault="00B44777" w:rsidP="00A72028">
      <w:pPr>
        <w:autoSpaceDE w:val="0"/>
        <w:autoSpaceDN w:val="0"/>
        <w:adjustRightInd w:val="0"/>
        <w:spacing w:line="360" w:lineRule="auto"/>
        <w:ind w:firstLine="708"/>
        <w:jc w:val="both"/>
      </w:pPr>
    </w:p>
    <w:p w:rsidR="001C11C3" w:rsidRDefault="001C11C3" w:rsidP="00A72028">
      <w:pPr>
        <w:autoSpaceDE w:val="0"/>
        <w:autoSpaceDN w:val="0"/>
        <w:adjustRightInd w:val="0"/>
        <w:spacing w:line="360" w:lineRule="auto"/>
        <w:ind w:firstLine="708"/>
        <w:jc w:val="both"/>
      </w:pPr>
    </w:p>
    <w:p w:rsidR="00F865E4" w:rsidRDefault="004541AF" w:rsidP="00A72028">
      <w:pPr>
        <w:autoSpaceDE w:val="0"/>
        <w:autoSpaceDN w:val="0"/>
        <w:adjustRightInd w:val="0"/>
        <w:spacing w:line="360" w:lineRule="auto"/>
        <w:ind w:firstLine="708"/>
        <w:jc w:val="both"/>
      </w:pPr>
      <w:r>
        <w:t>Para el</w:t>
      </w:r>
      <w:r w:rsidR="00F865E4" w:rsidRPr="00485F01">
        <w:t xml:space="preserve"> Rendimiento Académico, expresado por la nota media</w:t>
      </w:r>
      <w:r w:rsidR="00F865E4">
        <w:t xml:space="preserve">, </w:t>
      </w:r>
      <w:r w:rsidR="00A44FE2" w:rsidRPr="00A44FE2">
        <w:t>el resultado más repetido (34</w:t>
      </w:r>
      <w:r w:rsidR="00D87DA5">
        <w:t>.</w:t>
      </w:r>
      <w:r w:rsidR="00A44FE2" w:rsidRPr="00A44FE2">
        <w:t>6%) es el notable. La siguiente calificación, por p</w:t>
      </w:r>
      <w:r w:rsidR="00D87DA5">
        <w:t>orcentaje, es el “suspenso” (22.</w:t>
      </w:r>
      <w:r w:rsidR="00A44FE2" w:rsidRPr="00A44FE2">
        <w:t>5%). A continuación, muy cerca, aparece la calificación “bien” (19</w:t>
      </w:r>
      <w:r w:rsidR="00D87DA5">
        <w:t>.</w:t>
      </w:r>
      <w:r w:rsidR="00A44FE2" w:rsidRPr="00A44FE2">
        <w:t>9%) y desp</w:t>
      </w:r>
      <w:r w:rsidR="00D87DA5">
        <w:t>ués el sobresaliente (con un 13.</w:t>
      </w:r>
      <w:r w:rsidR="00A44FE2" w:rsidRPr="00A44FE2">
        <w:t>5%). La calificación con porcentaj</w:t>
      </w:r>
      <w:r w:rsidR="00D87DA5">
        <w:t>es más bajos (9.</w:t>
      </w:r>
      <w:r w:rsidR="00A44FE2" w:rsidRPr="00A44FE2">
        <w:t xml:space="preserve">5%) es el aprobado. Todo ello se resume en el gráfico </w:t>
      </w:r>
      <w:r w:rsidR="00D87DA5">
        <w:t>2</w:t>
      </w:r>
      <w:r w:rsidR="00F865E4" w:rsidRPr="00485F01">
        <w:t>:</w:t>
      </w:r>
    </w:p>
    <w:p w:rsidR="004541AF" w:rsidRDefault="004541AF" w:rsidP="00A72028">
      <w:pPr>
        <w:autoSpaceDE w:val="0"/>
        <w:autoSpaceDN w:val="0"/>
        <w:adjustRightInd w:val="0"/>
        <w:spacing w:line="360" w:lineRule="auto"/>
        <w:jc w:val="center"/>
        <w:rPr>
          <w:sz w:val="20"/>
          <w:szCs w:val="20"/>
        </w:rPr>
      </w:pPr>
      <w:r>
        <w:rPr>
          <w:b/>
          <w:sz w:val="20"/>
          <w:szCs w:val="20"/>
        </w:rPr>
        <w:t xml:space="preserve">Gráfico </w:t>
      </w:r>
      <w:r w:rsidR="00D87DA5">
        <w:rPr>
          <w:b/>
          <w:sz w:val="20"/>
          <w:szCs w:val="20"/>
        </w:rPr>
        <w:t>2</w:t>
      </w:r>
      <w:r>
        <w:rPr>
          <w:b/>
          <w:sz w:val="20"/>
          <w:szCs w:val="20"/>
        </w:rPr>
        <w:t>. Media de Rendimiento Total</w:t>
      </w:r>
    </w:p>
    <w:p w:rsidR="004541AF" w:rsidRDefault="00A44FE2" w:rsidP="00A72028">
      <w:pPr>
        <w:autoSpaceDE w:val="0"/>
        <w:autoSpaceDN w:val="0"/>
        <w:adjustRightInd w:val="0"/>
        <w:spacing w:line="360" w:lineRule="auto"/>
        <w:jc w:val="center"/>
      </w:pPr>
      <w:r w:rsidRPr="00754B3D">
        <w:rPr>
          <w:noProof/>
        </w:rPr>
        <w:drawing>
          <wp:inline distT="0" distB="0" distL="0" distR="0" wp14:anchorId="4588DAB5" wp14:editId="2E3B36D5">
            <wp:extent cx="2876550" cy="2300285"/>
            <wp:effectExtent l="0" t="0" r="0" b="508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93020" cy="2313455"/>
                    </a:xfrm>
                    <a:prstGeom prst="rect">
                      <a:avLst/>
                    </a:prstGeom>
                    <a:noFill/>
                    <a:ln>
                      <a:noFill/>
                    </a:ln>
                  </pic:spPr>
                </pic:pic>
              </a:graphicData>
            </a:graphic>
          </wp:inline>
        </w:drawing>
      </w:r>
    </w:p>
    <w:p w:rsidR="009A1B34" w:rsidRPr="005A36E9" w:rsidRDefault="00013E7B" w:rsidP="00A72028">
      <w:pPr>
        <w:autoSpaceDE w:val="0"/>
        <w:autoSpaceDN w:val="0"/>
        <w:adjustRightInd w:val="0"/>
        <w:spacing w:line="360" w:lineRule="auto"/>
        <w:jc w:val="both"/>
        <w:rPr>
          <w:b/>
        </w:rPr>
      </w:pPr>
      <w:r>
        <w:rPr>
          <w:b/>
        </w:rPr>
        <w:t>Etapa</w:t>
      </w:r>
      <w:r w:rsidR="004541AF">
        <w:rPr>
          <w:b/>
        </w:rPr>
        <w:t>/edad</w:t>
      </w:r>
    </w:p>
    <w:p w:rsidR="000E4759" w:rsidRDefault="00013E7B" w:rsidP="00A72028">
      <w:pPr>
        <w:autoSpaceDE w:val="0"/>
        <w:autoSpaceDN w:val="0"/>
        <w:adjustRightInd w:val="0"/>
        <w:spacing w:line="360" w:lineRule="auto"/>
        <w:ind w:firstLine="708"/>
        <w:jc w:val="both"/>
      </w:pPr>
      <w:r>
        <w:t>S</w:t>
      </w:r>
      <w:r w:rsidRPr="00013E7B">
        <w:t>e observa una disminución progresiva en el nivel de miedo a medida que aumenta la e</w:t>
      </w:r>
      <w:r>
        <w:t>tapa (e</w:t>
      </w:r>
      <w:r w:rsidRPr="00013E7B">
        <w:t>dad</w:t>
      </w:r>
      <w:r>
        <w:t>)</w:t>
      </w:r>
      <w:r w:rsidRPr="00013E7B">
        <w:t xml:space="preserve">. </w:t>
      </w:r>
      <w:r>
        <w:t>Así</w:t>
      </w:r>
      <w:r w:rsidRPr="00013E7B">
        <w:t xml:space="preserve">, los </w:t>
      </w:r>
      <w:r>
        <w:t xml:space="preserve">niveles </w:t>
      </w:r>
      <w:r w:rsidRPr="00013E7B">
        <w:t>más altos de miedo se dan en la muestra Infa</w:t>
      </w:r>
      <w:r w:rsidR="001C11C3">
        <w:t>ntil (alcanzando una media de 1.</w:t>
      </w:r>
      <w:r w:rsidRPr="00013E7B">
        <w:t xml:space="preserve">60), que destaca por el mayor porcentaje </w:t>
      </w:r>
      <w:r w:rsidR="001C11C3">
        <w:t>en la opción de mucho miedo (12.1%) y también en bastante (50.</w:t>
      </w:r>
      <w:r w:rsidRPr="00013E7B">
        <w:t xml:space="preserve">4%) junto con el menor en </w:t>
      </w:r>
      <w:r w:rsidR="001C11C3">
        <w:lastRenderedPageBreak/>
        <w:t>muy poco (6.</w:t>
      </w:r>
      <w:r w:rsidRPr="00013E7B">
        <w:t>7%). La siguiente etapa, por nivel de miedo es la Adolesc</w:t>
      </w:r>
      <w:r w:rsidR="001C11C3">
        <w:t>encia (con una media de 1.</w:t>
      </w:r>
      <w:r w:rsidRPr="00013E7B">
        <w:t>26), segundo en los niveles de miedo más alt</w:t>
      </w:r>
      <w:r w:rsidR="001347D3">
        <w:t>o</w:t>
      </w:r>
      <w:r w:rsidR="001C11C3">
        <w:t>s (2.2% en muy poco y 31.</w:t>
      </w:r>
      <w:r w:rsidRPr="00013E7B">
        <w:t>1% en bastante). El nivel infe</w:t>
      </w:r>
      <w:r w:rsidR="001C11C3">
        <w:t>rior se da entre los Adultos (0.</w:t>
      </w:r>
      <w:r w:rsidRPr="00013E7B">
        <w:t>765), donde aparecen los po</w:t>
      </w:r>
      <w:r w:rsidR="001C11C3">
        <w:t>rcentajes más altos en poco (51.3%) y muy poco (48.</w:t>
      </w:r>
      <w:r w:rsidRPr="00013E7B">
        <w:t xml:space="preserve">2%). </w:t>
      </w:r>
      <w:r w:rsidR="00137150">
        <w:t xml:space="preserve">Con respecto a los factores, se observa una situación similar: descenso a medida que se </w:t>
      </w:r>
      <w:r w:rsidRPr="00013E7B">
        <w:t>sube en la etapa evolutiva.</w:t>
      </w:r>
      <w:r>
        <w:t xml:space="preserve"> </w:t>
      </w:r>
      <w:r w:rsidR="00137150">
        <w:t>En todos los casos la muestra infantil presenta los niveles más altos (</w:t>
      </w:r>
      <w:r w:rsidR="00FF0853" w:rsidRPr="00FF0853">
        <w:t>Miedo a lo Desconocido -</w:t>
      </w:r>
      <w:r w:rsidR="00137150">
        <w:t>1</w:t>
      </w:r>
      <w:r w:rsidR="001C11C3">
        <w:t>.</w:t>
      </w:r>
      <w:r w:rsidR="00137150">
        <w:t>24</w:t>
      </w:r>
      <w:r w:rsidR="00FF0853" w:rsidRPr="00FF0853">
        <w:t xml:space="preserve">-, </w:t>
      </w:r>
      <w:r w:rsidR="00D037A5">
        <w:t xml:space="preserve">a </w:t>
      </w:r>
      <w:r w:rsidR="00FF0853" w:rsidRPr="00FF0853">
        <w:t>la Muerte -</w:t>
      </w:r>
      <w:r w:rsidR="001C11C3">
        <w:t>2.</w:t>
      </w:r>
      <w:r w:rsidR="00137150">
        <w:t>1</w:t>
      </w:r>
      <w:r w:rsidR="00FF0853" w:rsidRPr="00FF0853">
        <w:t>-, a los Animales -</w:t>
      </w:r>
      <w:r w:rsidR="00137150">
        <w:t>1</w:t>
      </w:r>
      <w:r w:rsidR="001C11C3">
        <w:t>.</w:t>
      </w:r>
      <w:r w:rsidR="00137150">
        <w:t>78</w:t>
      </w:r>
      <w:r w:rsidR="00FF0853" w:rsidRPr="00FF0853">
        <w:t>- a la Crítica -</w:t>
      </w:r>
      <w:r w:rsidR="00137150">
        <w:t>1</w:t>
      </w:r>
      <w:r w:rsidR="001C11C3">
        <w:t>.</w:t>
      </w:r>
      <w:r w:rsidR="00137150">
        <w:t>17</w:t>
      </w:r>
      <w:r w:rsidR="00FF0853" w:rsidRPr="00FF0853">
        <w:t>-</w:t>
      </w:r>
      <w:r w:rsidR="001C11C3">
        <w:t xml:space="preserve"> y Miedos Escolares -1.</w:t>
      </w:r>
      <w:r w:rsidR="00137150">
        <w:t>63-</w:t>
      </w:r>
      <w:r w:rsidR="00FF0853" w:rsidRPr="00FF0853">
        <w:t>)</w:t>
      </w:r>
      <w:r w:rsidR="00D037A5">
        <w:t xml:space="preserve">, </w:t>
      </w:r>
      <w:r w:rsidR="00137150">
        <w:t>seguida por los adolescentes (M</w:t>
      </w:r>
      <w:r w:rsidR="00137150" w:rsidRPr="00FF0853">
        <w:t xml:space="preserve">iedo a lo Desconocido </w:t>
      </w:r>
      <w:r w:rsidR="001C11C3">
        <w:t>-0.</w:t>
      </w:r>
      <w:r w:rsidR="00137150">
        <w:t>77-, a</w:t>
      </w:r>
      <w:r w:rsidR="00137150" w:rsidRPr="00FF0853">
        <w:t xml:space="preserve"> la Muerte </w:t>
      </w:r>
      <w:r w:rsidR="001C11C3">
        <w:t>-1.</w:t>
      </w:r>
      <w:r w:rsidR="00137150">
        <w:t xml:space="preserve">90-, </w:t>
      </w:r>
      <w:r w:rsidR="00137150" w:rsidRPr="00FF0853">
        <w:t xml:space="preserve">a los Animales </w:t>
      </w:r>
      <w:r w:rsidR="001C11C3">
        <w:t>1.</w:t>
      </w:r>
      <w:r w:rsidR="00137150">
        <w:t>04-</w:t>
      </w:r>
      <w:r w:rsidR="00137150" w:rsidRPr="00FF0853">
        <w:t xml:space="preserve"> y Miedos Escolares </w:t>
      </w:r>
      <w:r w:rsidR="001C11C3">
        <w:t>-1.</w:t>
      </w:r>
      <w:r w:rsidR="00137150">
        <w:t>35-</w:t>
      </w:r>
      <w:r w:rsidR="00137150" w:rsidRPr="00FF0853">
        <w:t>)</w:t>
      </w:r>
      <w:r w:rsidR="00137150">
        <w:t xml:space="preserve">. Solamente en la categoría de Miedos Médicos </w:t>
      </w:r>
      <w:r w:rsidR="00137150" w:rsidRPr="00FF0853">
        <w:t>(</w:t>
      </w:r>
      <w:r w:rsidR="001C11C3">
        <w:t>0.</w:t>
      </w:r>
      <w:r w:rsidR="00137150">
        <w:t>65</w:t>
      </w:r>
      <w:r w:rsidR="00137150" w:rsidRPr="00FF0853">
        <w:t>)</w:t>
      </w:r>
      <w:r w:rsidR="00137150">
        <w:t xml:space="preserve"> los adultos presentan niveles más altos que los adolescentes</w:t>
      </w:r>
      <w:r w:rsidR="00137150" w:rsidRPr="00FF0853">
        <w:t>.</w:t>
      </w:r>
      <w:r w:rsidR="00137150">
        <w:t xml:space="preserve"> </w:t>
      </w:r>
      <w:r w:rsidR="000E4759">
        <w:t>P</w:t>
      </w:r>
      <w:r w:rsidR="00F865E4" w:rsidRPr="00485F01">
        <w:t xml:space="preserve">ara el Rendimiento, las calificaciones se distribuyen de </w:t>
      </w:r>
      <w:r w:rsidR="000E4759">
        <w:t>forma desorganizada. S</w:t>
      </w:r>
      <w:r w:rsidR="000E4759" w:rsidRPr="000E4759">
        <w:t>e puede decir que el alumnado Universitario es en el que se registran resultados superiores (con una media de 7</w:t>
      </w:r>
      <w:r w:rsidR="001C11C3">
        <w:t>.</w:t>
      </w:r>
      <w:r w:rsidR="000E4759" w:rsidRPr="000E4759">
        <w:t>05) con los porcentajes de sobresalientes más altos (19</w:t>
      </w:r>
      <w:r w:rsidR="001C11C3">
        <w:t>.</w:t>
      </w:r>
      <w:r w:rsidR="000E4759" w:rsidRPr="000E4759">
        <w:t>8%) y los más bajos en suspensos (10</w:t>
      </w:r>
      <w:r w:rsidR="001C11C3">
        <w:t>.</w:t>
      </w:r>
      <w:r w:rsidR="000E4759" w:rsidRPr="000E4759">
        <w:t>4%). Le sigue la etapa Infantil (6</w:t>
      </w:r>
      <w:r w:rsidR="001C11C3">
        <w:t>.</w:t>
      </w:r>
      <w:r w:rsidR="000E4759" w:rsidRPr="000E4759">
        <w:t>49 de media) con el segundo porcentaje más alto de sobresalientes (15</w:t>
      </w:r>
      <w:r w:rsidR="001C11C3">
        <w:t>.</w:t>
      </w:r>
      <w:r w:rsidR="000E4759" w:rsidRPr="000E4759">
        <w:t>7%) y notables (33</w:t>
      </w:r>
      <w:r w:rsidR="001C11C3">
        <w:t>.</w:t>
      </w:r>
      <w:r w:rsidR="000E4759" w:rsidRPr="000E4759">
        <w:t>9%). Después de éste último vendría el alumnado de Educación Secundaria (5</w:t>
      </w:r>
      <w:r w:rsidR="001C11C3">
        <w:t>.</w:t>
      </w:r>
      <w:r w:rsidR="000E4759" w:rsidRPr="000E4759">
        <w:t>94) con más porcentajes para el suspenso (28</w:t>
      </w:r>
      <w:r w:rsidR="001C11C3">
        <w:t>.</w:t>
      </w:r>
      <w:r w:rsidR="000E4759" w:rsidRPr="000E4759">
        <w:t>1%) y menos en sobresalientes (9</w:t>
      </w:r>
      <w:r w:rsidR="001C11C3">
        <w:t>.</w:t>
      </w:r>
      <w:r w:rsidR="000E4759" w:rsidRPr="000E4759">
        <w:t xml:space="preserve">4%). </w:t>
      </w:r>
    </w:p>
    <w:p w:rsidR="00D07A24" w:rsidRDefault="00D269D7" w:rsidP="00A72028">
      <w:pPr>
        <w:autoSpaceDE w:val="0"/>
        <w:autoSpaceDN w:val="0"/>
        <w:adjustRightInd w:val="0"/>
        <w:spacing w:line="360" w:lineRule="auto"/>
        <w:ind w:firstLine="708"/>
        <w:jc w:val="both"/>
        <w:rPr>
          <w:b/>
          <w:sz w:val="20"/>
          <w:szCs w:val="20"/>
        </w:rPr>
      </w:pPr>
      <w:r>
        <w:t xml:space="preserve">Las </w:t>
      </w:r>
      <w:r w:rsidR="007932D1" w:rsidRPr="007932D1">
        <w:t xml:space="preserve">diferencias resultan </w:t>
      </w:r>
      <w:r w:rsidR="000E4759">
        <w:t xml:space="preserve">estadísticamente </w:t>
      </w:r>
      <w:r w:rsidR="007932D1" w:rsidRPr="007932D1">
        <w:t>significativas</w:t>
      </w:r>
      <w:r w:rsidR="000E4759" w:rsidRPr="000E4759">
        <w:t xml:space="preserve">, considerando la variable Etapa como factor y el resto las variables </w:t>
      </w:r>
      <w:r w:rsidR="000E4759">
        <w:t>relacionadas con el Miedo</w:t>
      </w:r>
      <w:r w:rsidR="000E4759" w:rsidRPr="000E4759">
        <w:t xml:space="preserve"> como dependientes</w:t>
      </w:r>
      <w:r w:rsidR="000E4759">
        <w:t xml:space="preserve">, en </w:t>
      </w:r>
      <w:r w:rsidR="000E4759" w:rsidRPr="000E4759">
        <w:t>el Miedo Total (</w:t>
      </w:r>
      <w:r w:rsidR="001C11C3" w:rsidRPr="001C11C3">
        <w:rPr>
          <w:i/>
        </w:rPr>
        <w:t>p</w:t>
      </w:r>
      <w:r w:rsidR="000E4759" w:rsidRPr="000E4759">
        <w:t>=0</w:t>
      </w:r>
      <w:r w:rsidR="001C11C3">
        <w:t>.</w:t>
      </w:r>
      <w:r w:rsidR="000E4759" w:rsidRPr="000E4759">
        <w:t>000), el Miedo a lo Desconocido (</w:t>
      </w:r>
      <w:r w:rsidR="001C11C3" w:rsidRPr="001C11C3">
        <w:rPr>
          <w:i/>
        </w:rPr>
        <w:t>p</w:t>
      </w:r>
      <w:r w:rsidR="000E4759" w:rsidRPr="000E4759">
        <w:t>=0</w:t>
      </w:r>
      <w:r w:rsidR="001C11C3">
        <w:t>.</w:t>
      </w:r>
      <w:r w:rsidR="000E4759" w:rsidRPr="000E4759">
        <w:t>000), el Miedo a la Muerte (</w:t>
      </w:r>
      <w:r w:rsidR="001C11C3" w:rsidRPr="001C11C3">
        <w:rPr>
          <w:i/>
        </w:rPr>
        <w:t>p</w:t>
      </w:r>
      <w:r w:rsidR="001C11C3">
        <w:t>=0.</w:t>
      </w:r>
      <w:r w:rsidR="000E4759" w:rsidRPr="000E4759">
        <w:t>000), el Miedo a los Animales (</w:t>
      </w:r>
      <w:r w:rsidR="001C11C3" w:rsidRPr="001C11C3">
        <w:rPr>
          <w:i/>
        </w:rPr>
        <w:t>p</w:t>
      </w:r>
      <w:r w:rsidR="001C11C3">
        <w:t>=0.</w:t>
      </w:r>
      <w:r w:rsidR="000E4759" w:rsidRPr="000E4759">
        <w:t>000), el Miedo a la Crítica (</w:t>
      </w:r>
      <w:r w:rsidR="001C11C3" w:rsidRPr="001C11C3">
        <w:rPr>
          <w:i/>
        </w:rPr>
        <w:t>p</w:t>
      </w:r>
      <w:r w:rsidR="001C11C3">
        <w:t>=0.</w:t>
      </w:r>
      <w:r w:rsidR="000E4759" w:rsidRPr="000E4759">
        <w:t>000), los Miedos Escolares (</w:t>
      </w:r>
      <w:r w:rsidR="001C11C3" w:rsidRPr="001C11C3">
        <w:rPr>
          <w:i/>
        </w:rPr>
        <w:t>p</w:t>
      </w:r>
      <w:r w:rsidR="001C11C3">
        <w:t>=0.</w:t>
      </w:r>
      <w:r w:rsidR="000E4759" w:rsidRPr="000E4759">
        <w:t>000), los Miedos Médicos (</w:t>
      </w:r>
      <w:r w:rsidR="001C11C3" w:rsidRPr="001C11C3">
        <w:rPr>
          <w:i/>
        </w:rPr>
        <w:t>p</w:t>
      </w:r>
      <w:r w:rsidR="001C11C3">
        <w:t>=0.</w:t>
      </w:r>
      <w:r w:rsidR="000E4759" w:rsidRPr="000E4759">
        <w:t>000)</w:t>
      </w:r>
      <w:r w:rsidR="000E4759">
        <w:t xml:space="preserve">. </w:t>
      </w:r>
      <w:r w:rsidR="000E4759" w:rsidRPr="000E4759">
        <w:t xml:space="preserve">Así pues, se establecen diferencias en la variable así como en todos los factores. En todos los casos, se observa un incremento en los niveles de miedo a medida que </w:t>
      </w:r>
      <w:r w:rsidR="007860EF">
        <w:t>se aproximan</w:t>
      </w:r>
      <w:r w:rsidR="000E4759" w:rsidRPr="000E4759">
        <w:t xml:space="preserve"> a las primeras etapas</w:t>
      </w:r>
      <w:r w:rsidR="007860EF">
        <w:t>, siendo</w:t>
      </w:r>
      <w:r w:rsidR="000E4759" w:rsidRPr="000E4759">
        <w:t xml:space="preserve"> los niños los que presentan más miedo, seguido por los adolescentes. Los que reflejan niveles más bajos son los adultos. Esta realidad se cumple en todos los casos excepto en los Miedos Médicos, en los que ocurre lo contrario. </w:t>
      </w:r>
      <w:r w:rsidR="00263FC9">
        <w:t>Finalizando con el Rendimiento</w:t>
      </w:r>
      <w:r w:rsidR="000E4759" w:rsidRPr="000E4759">
        <w:t xml:space="preserve">, </w:t>
      </w:r>
      <w:r w:rsidR="00263FC9">
        <w:t xml:space="preserve">las diferencias son estadísticamente significativas tanto en </w:t>
      </w:r>
      <w:r w:rsidR="000E4759" w:rsidRPr="000E4759">
        <w:t>la Media de Rendimiento Total (</w:t>
      </w:r>
      <w:r w:rsidR="00DE1ADB" w:rsidRPr="001C11C3">
        <w:rPr>
          <w:i/>
        </w:rPr>
        <w:t>p</w:t>
      </w:r>
      <w:r w:rsidR="00DE1ADB">
        <w:t>=0.</w:t>
      </w:r>
      <w:r w:rsidR="000E4759" w:rsidRPr="000E4759">
        <w:t xml:space="preserve">000), </w:t>
      </w:r>
      <w:r w:rsidR="00263FC9">
        <w:t xml:space="preserve">como en </w:t>
      </w:r>
      <w:r w:rsidR="000E4759" w:rsidRPr="000E4759">
        <w:t>el Rendimiento en la Materia 1 (</w:t>
      </w:r>
      <w:r w:rsidR="00DE1ADB" w:rsidRPr="001C11C3">
        <w:rPr>
          <w:i/>
        </w:rPr>
        <w:t>p</w:t>
      </w:r>
      <w:r w:rsidR="00DE1ADB">
        <w:t>=0.</w:t>
      </w:r>
      <w:r w:rsidR="000E4759" w:rsidRPr="000E4759">
        <w:t>000), el Rendimiento en la Materia 2 (</w:t>
      </w:r>
      <w:r w:rsidR="00DE1ADB" w:rsidRPr="001C11C3">
        <w:rPr>
          <w:i/>
        </w:rPr>
        <w:t>p</w:t>
      </w:r>
      <w:r w:rsidR="00DE1ADB">
        <w:t>=0.</w:t>
      </w:r>
      <w:r w:rsidR="000E4759" w:rsidRPr="000E4759">
        <w:t>000), el Rendimiento en la Materia 3 (</w:t>
      </w:r>
      <w:r w:rsidR="00DE1ADB" w:rsidRPr="001C11C3">
        <w:rPr>
          <w:i/>
        </w:rPr>
        <w:t>p</w:t>
      </w:r>
      <w:r w:rsidR="00DE1ADB">
        <w:t>=0.</w:t>
      </w:r>
      <w:r w:rsidR="000E4759" w:rsidRPr="000E4759">
        <w:t>000), el Rendimiento en la Materia 4 (</w:t>
      </w:r>
      <w:r w:rsidR="00DE1ADB" w:rsidRPr="001C11C3">
        <w:rPr>
          <w:i/>
        </w:rPr>
        <w:t>p</w:t>
      </w:r>
      <w:r w:rsidR="00DE1ADB">
        <w:t>=0.</w:t>
      </w:r>
      <w:r w:rsidR="000E4759" w:rsidRPr="000E4759">
        <w:t>000) y el Rendimiento en la Materia 6 (</w:t>
      </w:r>
      <w:r w:rsidR="00DE1ADB" w:rsidRPr="001C11C3">
        <w:rPr>
          <w:i/>
        </w:rPr>
        <w:t>p</w:t>
      </w:r>
      <w:r w:rsidR="00DE1ADB">
        <w:t>=0.</w:t>
      </w:r>
      <w:r w:rsidR="000E4759" w:rsidRPr="000E4759">
        <w:t xml:space="preserve">000). </w:t>
      </w:r>
      <w:r w:rsidR="00263FC9" w:rsidRPr="00263FC9">
        <w:t>Todos estos resultados, se han hallado a través de la prueba ANOVA (que queda resumida en la tabla 1</w:t>
      </w:r>
      <w:r w:rsidR="00DE1ADB">
        <w:t xml:space="preserve"> que aparece en la página siguiente</w:t>
      </w:r>
      <w:r w:rsidR="00263FC9" w:rsidRPr="00263FC9">
        <w:t>) y se han visto confirmados por la Chi-cuadrado de Pearson.</w:t>
      </w:r>
      <w:r w:rsidR="00D07A24" w:rsidRPr="00D07A24">
        <w:rPr>
          <w:b/>
          <w:sz w:val="20"/>
          <w:szCs w:val="20"/>
        </w:rPr>
        <w:t xml:space="preserve"> </w:t>
      </w:r>
    </w:p>
    <w:p w:rsidR="00DE1ADB" w:rsidRPr="00031E84" w:rsidRDefault="00DE1ADB" w:rsidP="00DE1ADB">
      <w:pPr>
        <w:autoSpaceDE w:val="0"/>
        <w:autoSpaceDN w:val="0"/>
        <w:adjustRightInd w:val="0"/>
        <w:spacing w:line="360" w:lineRule="auto"/>
        <w:ind w:firstLine="708"/>
        <w:jc w:val="center"/>
      </w:pPr>
      <w:r>
        <w:rPr>
          <w:b/>
          <w:sz w:val="20"/>
          <w:szCs w:val="20"/>
        </w:rPr>
        <w:lastRenderedPageBreak/>
        <w:t>Tabla 1. Miedo Rendimiento Académico y Factores en función de la edad</w:t>
      </w:r>
      <w:r>
        <w:rPr>
          <w:b/>
          <w:noProof/>
          <w:sz w:val="20"/>
          <w:szCs w:val="20"/>
        </w:rPr>
        <w:drawing>
          <wp:inline distT="0" distB="0" distL="0" distR="0" wp14:anchorId="7A0C495E" wp14:editId="44679DAC">
            <wp:extent cx="4410075" cy="72866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0075" cy="7286625"/>
                    </a:xfrm>
                    <a:prstGeom prst="rect">
                      <a:avLst/>
                    </a:prstGeom>
                    <a:noFill/>
                    <a:ln>
                      <a:noFill/>
                    </a:ln>
                  </pic:spPr>
                </pic:pic>
              </a:graphicData>
            </a:graphic>
          </wp:inline>
        </w:drawing>
      </w:r>
    </w:p>
    <w:p w:rsidR="00D07A24" w:rsidRDefault="00D07A24" w:rsidP="00A72028">
      <w:pPr>
        <w:autoSpaceDE w:val="0"/>
        <w:autoSpaceDN w:val="0"/>
        <w:adjustRightInd w:val="0"/>
        <w:spacing w:line="360" w:lineRule="auto"/>
        <w:ind w:firstLine="708"/>
        <w:jc w:val="both"/>
        <w:rPr>
          <w:b/>
          <w:sz w:val="20"/>
          <w:szCs w:val="20"/>
        </w:rPr>
      </w:pPr>
    </w:p>
    <w:p w:rsidR="00D07A24" w:rsidRDefault="00DE1ADB" w:rsidP="00A72028">
      <w:pPr>
        <w:spacing w:line="360" w:lineRule="auto"/>
        <w:jc w:val="both"/>
        <w:rPr>
          <w:b/>
          <w:bCs/>
        </w:rPr>
      </w:pPr>
      <w:r>
        <w:rPr>
          <w:b/>
          <w:bCs/>
        </w:rPr>
        <w:t>Género</w:t>
      </w:r>
    </w:p>
    <w:p w:rsidR="001B479B" w:rsidRDefault="00D07A24" w:rsidP="00A72028">
      <w:pPr>
        <w:spacing w:line="360" w:lineRule="auto"/>
        <w:ind w:firstLine="708"/>
        <w:jc w:val="both"/>
      </w:pPr>
      <w:r>
        <w:t>L</w:t>
      </w:r>
      <w:r w:rsidR="0064476A">
        <w:t>o</w:t>
      </w:r>
      <w:r w:rsidRPr="00485F01">
        <w:t xml:space="preserve">s </w:t>
      </w:r>
      <w:r w:rsidR="0064476A">
        <w:t xml:space="preserve">varones </w:t>
      </w:r>
      <w:r>
        <w:t>refleja</w:t>
      </w:r>
      <w:r w:rsidR="0064476A">
        <w:t>n</w:t>
      </w:r>
      <w:r>
        <w:t xml:space="preserve"> </w:t>
      </w:r>
      <w:r w:rsidRPr="00485F01">
        <w:t xml:space="preserve">un nivel más </w:t>
      </w:r>
      <w:r w:rsidR="0064476A">
        <w:t>bajo de miedo que la</w:t>
      </w:r>
      <w:r w:rsidRPr="00485F01">
        <w:t xml:space="preserve">s </w:t>
      </w:r>
      <w:r w:rsidR="0064476A">
        <w:t xml:space="preserve">chicas, </w:t>
      </w:r>
      <w:r w:rsidR="00D0125C">
        <w:t xml:space="preserve">siendo estas últimas las que </w:t>
      </w:r>
      <w:r w:rsidR="0064476A" w:rsidRPr="0064476A">
        <w:t>manifiestan porcentajes más altos en cuanto a las puntuaciones de miedo total (6</w:t>
      </w:r>
      <w:r w:rsidR="00DE1ADB">
        <w:t>.5% tienen mucho, 39.2% bastante y un 14.</w:t>
      </w:r>
      <w:r w:rsidR="0064476A" w:rsidRPr="0064476A">
        <w:t xml:space="preserve">5% tienen muy poco miedo), en </w:t>
      </w:r>
      <w:r w:rsidR="0064476A" w:rsidRPr="0064476A">
        <w:lastRenderedPageBreak/>
        <w:t>comparación con los varones (21</w:t>
      </w:r>
      <w:r w:rsidR="00DE1ADB">
        <w:t>.</w:t>
      </w:r>
      <w:r w:rsidR="0064476A" w:rsidRPr="0064476A">
        <w:t>3% bast</w:t>
      </w:r>
      <w:r w:rsidR="00DE1ADB">
        <w:t>ante miedo total, 3% mucho y 25.</w:t>
      </w:r>
      <w:r w:rsidR="0064476A" w:rsidRPr="0064476A">
        <w:t xml:space="preserve">5% muy poco miedo total). Así se puede contemplar que las mujeres manifiestan niveles claramente más altos de miedo que los varones, tal y como reflejan las medias de miedo de ambos </w:t>
      </w:r>
      <w:r w:rsidR="00D220A2">
        <w:t>género</w:t>
      </w:r>
      <w:r w:rsidR="0064476A" w:rsidRPr="0064476A">
        <w:t>s (1</w:t>
      </w:r>
      <w:r w:rsidR="00DE1ADB">
        <w:t>.</w:t>
      </w:r>
      <w:r w:rsidR="0064476A" w:rsidRPr="0064476A">
        <w:t>14</w:t>
      </w:r>
      <w:r w:rsidR="003913A4">
        <w:t xml:space="preserve"> los hombres y 1</w:t>
      </w:r>
      <w:r w:rsidR="00DE1ADB">
        <w:t>.</w:t>
      </w:r>
      <w:r w:rsidR="003913A4">
        <w:t xml:space="preserve">4 las mujeres), algo que se puede ver en </w:t>
      </w:r>
      <w:r w:rsidR="00DE1ADB">
        <w:t>el  gráfico  número 3</w:t>
      </w:r>
      <w:r>
        <w:t xml:space="preserve">. </w:t>
      </w:r>
      <w:r w:rsidR="001B479B">
        <w:t xml:space="preserve">Esta situación no sólo se da en </w:t>
      </w:r>
      <w:r w:rsidR="006D7621">
        <w:t>las puntuaciones totales, sino también en cada uno de los factores, donde las mujeres alcanzan niveles superiores (M</w:t>
      </w:r>
      <w:r>
        <w:t xml:space="preserve">iedo </w:t>
      </w:r>
      <w:r w:rsidR="006D7621">
        <w:t>a lo Desconocido -</w:t>
      </w:r>
      <w:r>
        <w:t>1</w:t>
      </w:r>
      <w:r w:rsidR="00DE1ADB">
        <w:t>.</w:t>
      </w:r>
      <w:r>
        <w:t>1</w:t>
      </w:r>
      <w:r w:rsidR="006D7621">
        <w:t>4 frente a 0</w:t>
      </w:r>
      <w:r w:rsidR="00DE1ADB">
        <w:t>.</w:t>
      </w:r>
      <w:r w:rsidR="006D7621">
        <w:t xml:space="preserve">77-, a </w:t>
      </w:r>
      <w:r>
        <w:t xml:space="preserve">la  Muerte </w:t>
      </w:r>
      <w:r w:rsidR="006D7621">
        <w:t>-2</w:t>
      </w:r>
      <w:r w:rsidR="00DE1ADB">
        <w:t>.</w:t>
      </w:r>
      <w:r w:rsidR="006D7621">
        <w:t>18 frente a 1</w:t>
      </w:r>
      <w:r w:rsidR="00DE1ADB">
        <w:t>.</w:t>
      </w:r>
      <w:r w:rsidR="006D7621">
        <w:t xml:space="preserve">83-, </w:t>
      </w:r>
      <w:r>
        <w:t xml:space="preserve">a los Animales </w:t>
      </w:r>
      <w:r w:rsidR="006D7621">
        <w:t>-1</w:t>
      </w:r>
      <w:r w:rsidR="00DE1ADB">
        <w:t>.45 frente a 0.</w:t>
      </w:r>
      <w:r w:rsidR="006D7621">
        <w:t xml:space="preserve">98-, </w:t>
      </w:r>
      <w:r>
        <w:t xml:space="preserve">a la Crítica </w:t>
      </w:r>
      <w:r w:rsidR="00DE1ADB">
        <w:t>-1.16 por 0.</w:t>
      </w:r>
      <w:r w:rsidR="006D7621">
        <w:t>95-,</w:t>
      </w:r>
      <w:r>
        <w:t xml:space="preserve"> Miedos Escolares </w:t>
      </w:r>
      <w:r w:rsidR="00DE1ADB">
        <w:t>-1.</w:t>
      </w:r>
      <w:r w:rsidR="006D7621">
        <w:t>5</w:t>
      </w:r>
      <w:r w:rsidR="00DE1ADB">
        <w:t>8 frente a 1.33- y Miedos Médicos -0.59 por 0.</w:t>
      </w:r>
      <w:r w:rsidR="006D7621">
        <w:t>37-</w:t>
      </w:r>
      <w:r>
        <w:t>)</w:t>
      </w:r>
      <w:r w:rsidR="006D7621">
        <w:t xml:space="preserve"> a los sujetos pertenecientes al </w:t>
      </w:r>
      <w:r w:rsidR="00DE1ADB">
        <w:t>género</w:t>
      </w:r>
      <w:r w:rsidR="006D7621">
        <w:t xml:space="preserve"> masculino, lo que permite intuir que </w:t>
      </w:r>
      <w:r>
        <w:t xml:space="preserve">manifiestan niveles más bajos de miedo que las </w:t>
      </w:r>
      <w:r w:rsidR="006D7621">
        <w:t>mujeres</w:t>
      </w:r>
      <w:r>
        <w:t>.</w:t>
      </w:r>
    </w:p>
    <w:p w:rsidR="00D07A24" w:rsidRDefault="00D07A24" w:rsidP="00A72028">
      <w:pPr>
        <w:spacing w:line="360" w:lineRule="auto"/>
        <w:ind w:firstLine="708"/>
        <w:jc w:val="both"/>
      </w:pPr>
    </w:p>
    <w:p w:rsidR="005651DA" w:rsidRDefault="005651DA" w:rsidP="00A72028">
      <w:pPr>
        <w:autoSpaceDE w:val="0"/>
        <w:autoSpaceDN w:val="0"/>
        <w:adjustRightInd w:val="0"/>
        <w:spacing w:line="360" w:lineRule="auto"/>
        <w:jc w:val="center"/>
        <w:rPr>
          <w:b/>
          <w:sz w:val="20"/>
          <w:szCs w:val="20"/>
        </w:rPr>
      </w:pPr>
      <w:r>
        <w:rPr>
          <w:b/>
          <w:sz w:val="20"/>
          <w:szCs w:val="20"/>
        </w:rPr>
        <w:t xml:space="preserve">Gráfico </w:t>
      </w:r>
      <w:r w:rsidR="00DE1ADB">
        <w:rPr>
          <w:b/>
          <w:sz w:val="20"/>
          <w:szCs w:val="20"/>
        </w:rPr>
        <w:t>3</w:t>
      </w:r>
      <w:r>
        <w:rPr>
          <w:b/>
          <w:sz w:val="20"/>
          <w:szCs w:val="20"/>
        </w:rPr>
        <w:t>. Miedo-</w:t>
      </w:r>
      <w:r w:rsidR="00D220A2" w:rsidRPr="00D220A2">
        <w:t xml:space="preserve"> </w:t>
      </w:r>
      <w:r w:rsidR="00D220A2" w:rsidRPr="00D220A2">
        <w:rPr>
          <w:b/>
        </w:rPr>
        <w:t>Género</w:t>
      </w:r>
    </w:p>
    <w:p w:rsidR="005651DA" w:rsidRPr="006D7621" w:rsidRDefault="003913A4" w:rsidP="00A72028">
      <w:pPr>
        <w:spacing w:line="360" w:lineRule="auto"/>
        <w:ind w:firstLine="284"/>
        <w:jc w:val="center"/>
        <w:rPr>
          <w:rFonts w:ascii="Comic Sans MS" w:hAnsi="Comic Sans MS"/>
          <w:sz w:val="20"/>
          <w:szCs w:val="20"/>
        </w:rPr>
      </w:pPr>
      <w:r>
        <w:rPr>
          <w:noProof/>
        </w:rPr>
        <w:drawing>
          <wp:inline distT="0" distB="0" distL="0" distR="0" wp14:anchorId="7462D3FB" wp14:editId="0E6B3F25">
            <wp:extent cx="4257675" cy="2514600"/>
            <wp:effectExtent l="0" t="0" r="9525" b="190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E06FF" w:rsidRDefault="005D5F1D" w:rsidP="00A72028">
      <w:pPr>
        <w:spacing w:line="360" w:lineRule="auto"/>
        <w:ind w:firstLine="708"/>
        <w:jc w:val="both"/>
      </w:pPr>
      <w:r>
        <w:t>Considerando</w:t>
      </w:r>
      <w:r w:rsidRPr="005D5F1D">
        <w:t xml:space="preserve"> el Rendimiento Global, en función del </w:t>
      </w:r>
      <w:r w:rsidR="00D220A2">
        <w:t>género</w:t>
      </w:r>
      <w:r w:rsidRPr="005D5F1D">
        <w:t xml:space="preserve">, se puede comprobar que las mujeres tienen un nivel algo superior a los varones. </w:t>
      </w:r>
      <w:r>
        <w:t>L</w:t>
      </w:r>
      <w:r w:rsidRPr="005D5F1D">
        <w:t>as primeras alcanzan una media de 6</w:t>
      </w:r>
      <w:r w:rsidR="000A25CB">
        <w:t>.</w:t>
      </w:r>
      <w:r w:rsidRPr="005D5F1D">
        <w:t>47 mientras que los segundos sólo llegan hasta 6</w:t>
      </w:r>
      <w:r w:rsidR="000A25CB">
        <w:t>.1</w:t>
      </w:r>
      <w:r w:rsidRPr="005D5F1D">
        <w:t>6. De esta manera, los porcentajes son superiores para las mujeres en sobresalientes (14</w:t>
      </w:r>
      <w:r w:rsidR="000A25CB">
        <w:t>.</w:t>
      </w:r>
      <w:r w:rsidRPr="005D5F1D">
        <w:t>2% frente a 12</w:t>
      </w:r>
      <w:r w:rsidR="000A25CB">
        <w:t>.</w:t>
      </w:r>
      <w:r w:rsidRPr="005D5F1D">
        <w:t>5%) y notables (37</w:t>
      </w:r>
      <w:r w:rsidR="000A25CB">
        <w:t>.</w:t>
      </w:r>
      <w:r w:rsidRPr="005D5F1D">
        <w:t>2% en mujeres por 31% en varones). Por su lado, los varones tienen porcentajes más altos en suspensos (26% en varon</w:t>
      </w:r>
      <w:r w:rsidR="000A25CB">
        <w:t>es y 19.</w:t>
      </w:r>
      <w:r w:rsidRPr="005D5F1D">
        <w:t>9% en mujeres). Se observa, por tanto, que las mujeres son algo superiores a los var</w:t>
      </w:r>
      <w:r>
        <w:t>ones en cuanto a la nota global, algo que se rep</w:t>
      </w:r>
      <w:r w:rsidR="00DF6268">
        <w:t>ite en cada una de las materias (Materia 1 -mujeres</w:t>
      </w:r>
      <w:r w:rsidR="008C235C" w:rsidRPr="008C235C">
        <w:t xml:space="preserve"> </w:t>
      </w:r>
      <w:r w:rsidR="00DF6268">
        <w:t>6</w:t>
      </w:r>
      <w:r w:rsidR="000A25CB">
        <w:t>.</w:t>
      </w:r>
      <w:r w:rsidR="00DF6268">
        <w:t>26</w:t>
      </w:r>
      <w:r w:rsidR="008C235C" w:rsidRPr="008C235C">
        <w:t xml:space="preserve"> y </w:t>
      </w:r>
      <w:r w:rsidR="00DF6268">
        <w:t>varones 5</w:t>
      </w:r>
      <w:r w:rsidR="000A25CB">
        <w:t>.</w:t>
      </w:r>
      <w:r w:rsidR="00DF6268">
        <w:t>77-, Materia 2 -</w:t>
      </w:r>
      <w:r w:rsidR="008C235C" w:rsidRPr="008C235C">
        <w:t>6</w:t>
      </w:r>
      <w:r w:rsidR="000A25CB">
        <w:t>.</w:t>
      </w:r>
      <w:r w:rsidR="00DF6268">
        <w:t>3</w:t>
      </w:r>
      <w:r w:rsidR="008C235C" w:rsidRPr="008C235C">
        <w:t xml:space="preserve"> en mujeres por </w:t>
      </w:r>
      <w:r w:rsidR="00DF6268">
        <w:t>5</w:t>
      </w:r>
      <w:r w:rsidR="000A25CB">
        <w:t>.</w:t>
      </w:r>
      <w:r w:rsidR="00DF6268">
        <w:t>93 en varones-,</w:t>
      </w:r>
      <w:r w:rsidR="008C235C" w:rsidRPr="008C235C">
        <w:t xml:space="preserve"> Mate</w:t>
      </w:r>
      <w:r w:rsidR="00DF6268">
        <w:t>ria 3</w:t>
      </w:r>
      <w:r w:rsidR="008C235C" w:rsidRPr="008C235C">
        <w:t xml:space="preserve"> </w:t>
      </w:r>
      <w:r w:rsidR="00DF6268">
        <w:t>-</w:t>
      </w:r>
      <w:r w:rsidR="008C235C" w:rsidRPr="008C235C">
        <w:t>6</w:t>
      </w:r>
      <w:r w:rsidR="000A25CB">
        <w:t>.</w:t>
      </w:r>
      <w:r w:rsidR="00DF6268">
        <w:t>63</w:t>
      </w:r>
      <w:r w:rsidR="008C235C" w:rsidRPr="008C235C">
        <w:t xml:space="preserve"> las chicas y 6</w:t>
      </w:r>
      <w:r w:rsidR="000A25CB">
        <w:t>.</w:t>
      </w:r>
      <w:r w:rsidR="00DF6268">
        <w:t>3</w:t>
      </w:r>
      <w:r w:rsidR="008C235C" w:rsidRPr="008C235C">
        <w:t xml:space="preserve"> los </w:t>
      </w:r>
      <w:r w:rsidR="00DF6268">
        <w:t>chicos-, Materia 4 -5</w:t>
      </w:r>
      <w:r w:rsidR="000A25CB">
        <w:t>.89 los varones y 6.24 las mujeres- y Materia 5 -6.86 los varones por 7.</w:t>
      </w:r>
      <w:r w:rsidR="00DF6268">
        <w:t>15 las mujeres-</w:t>
      </w:r>
      <w:r w:rsidR="008C235C" w:rsidRPr="008C235C">
        <w:t xml:space="preserve">), </w:t>
      </w:r>
      <w:r w:rsidR="00A5056C">
        <w:t xml:space="preserve">exceptuando la Materia 6, donde los varones </w:t>
      </w:r>
      <w:r w:rsidR="00A5056C">
        <w:lastRenderedPageBreak/>
        <w:t xml:space="preserve">superan </w:t>
      </w:r>
      <w:r w:rsidR="000A25CB">
        <w:t>ligeramente a las mujeres (6.09 y 6.</w:t>
      </w:r>
      <w:r w:rsidR="00A5056C">
        <w:t xml:space="preserve">07 respectivamente), aunque destacan sobre todo, una enorme similitud. </w:t>
      </w:r>
      <w:r w:rsidR="006664C0" w:rsidRPr="00485F01">
        <w:t xml:space="preserve"> </w:t>
      </w:r>
    </w:p>
    <w:p w:rsidR="00C36919" w:rsidRDefault="007932D1" w:rsidP="00A72028">
      <w:pPr>
        <w:spacing w:line="360" w:lineRule="auto"/>
        <w:ind w:firstLine="708"/>
        <w:jc w:val="both"/>
      </w:pPr>
      <w:r w:rsidRPr="007932D1">
        <w:t>Las variables relacionadas con el Miedo, se encuen</w:t>
      </w:r>
      <w:r w:rsidR="000A25CB">
        <w:t>tran bajo la influencia del género</w:t>
      </w:r>
      <w:r w:rsidRPr="007932D1">
        <w:t>, como confirman la</w:t>
      </w:r>
      <w:r w:rsidR="00796910">
        <w:t>s</w:t>
      </w:r>
      <w:r w:rsidRPr="007932D1">
        <w:t xml:space="preserve"> prueba</w:t>
      </w:r>
      <w:r w:rsidR="00796910">
        <w:t>s</w:t>
      </w:r>
      <w:r w:rsidRPr="007932D1">
        <w:t xml:space="preserve"> </w:t>
      </w:r>
      <w:r w:rsidR="005E06FF">
        <w:t>ANOVA (se resume</w:t>
      </w:r>
      <w:r w:rsidR="00796910">
        <w:t xml:space="preserve"> en la tabla 2</w:t>
      </w:r>
      <w:r w:rsidR="000A25CB">
        <w:t xml:space="preserve"> en la siguiente página</w:t>
      </w:r>
      <w:r w:rsidR="00796910">
        <w:t xml:space="preserve">), ya que las </w:t>
      </w:r>
      <w:r w:rsidRPr="007932D1">
        <w:t xml:space="preserve">diferencias </w:t>
      </w:r>
      <w:r w:rsidR="00796910">
        <w:t xml:space="preserve">son </w:t>
      </w:r>
      <w:r w:rsidR="005E06FF">
        <w:t xml:space="preserve">estadísticamente </w:t>
      </w:r>
      <w:r w:rsidRPr="007932D1">
        <w:t xml:space="preserve">significativas en el </w:t>
      </w:r>
      <w:r w:rsidR="005E06FF" w:rsidRPr="005E06FF">
        <w:t>Miedo Total (</w:t>
      </w:r>
      <w:r w:rsidR="000A25CB" w:rsidRPr="000A25CB">
        <w:rPr>
          <w:i/>
        </w:rPr>
        <w:t>p</w:t>
      </w:r>
      <w:r w:rsidR="000A25CB">
        <w:t>=0.</w:t>
      </w:r>
      <w:r w:rsidR="005E06FF" w:rsidRPr="005E06FF">
        <w:t>000)</w:t>
      </w:r>
      <w:r w:rsidR="000A25CB">
        <w:t>, el Miedo a lo Desconocido (</w:t>
      </w:r>
      <w:r w:rsidR="000A25CB" w:rsidRPr="000A25CB">
        <w:rPr>
          <w:i/>
        </w:rPr>
        <w:t>p</w:t>
      </w:r>
      <w:r w:rsidR="000A25CB">
        <w:t>=0.</w:t>
      </w:r>
      <w:r w:rsidR="005E06FF" w:rsidRPr="005E06FF">
        <w:t>000), el Miedo a la Muerte (</w:t>
      </w:r>
      <w:r w:rsidR="000A25CB" w:rsidRPr="000A25CB">
        <w:rPr>
          <w:i/>
        </w:rPr>
        <w:t>p</w:t>
      </w:r>
      <w:r w:rsidR="005E06FF" w:rsidRPr="005E06FF">
        <w:t>=0,000), el Miedo a los Animales (</w:t>
      </w:r>
      <w:r w:rsidR="000A25CB" w:rsidRPr="000A25CB">
        <w:rPr>
          <w:i/>
        </w:rPr>
        <w:t>p</w:t>
      </w:r>
      <w:r w:rsidR="000A25CB">
        <w:t>=0.</w:t>
      </w:r>
      <w:r w:rsidR="005E06FF" w:rsidRPr="005E06FF">
        <w:t>000), el Miedo a la Crítica (</w:t>
      </w:r>
      <w:r w:rsidR="000A25CB" w:rsidRPr="000A25CB">
        <w:rPr>
          <w:i/>
        </w:rPr>
        <w:t>p</w:t>
      </w:r>
      <w:r w:rsidR="000A25CB">
        <w:t>=0.000), los Miedos Escolares (</w:t>
      </w:r>
      <w:r w:rsidR="000A25CB" w:rsidRPr="000A25CB">
        <w:rPr>
          <w:i/>
        </w:rPr>
        <w:t>p</w:t>
      </w:r>
      <w:r w:rsidR="000A25CB">
        <w:t>=0.</w:t>
      </w:r>
      <w:r w:rsidR="005E06FF" w:rsidRPr="005E06FF">
        <w:t>000</w:t>
      </w:r>
      <w:r w:rsidR="005E06FF">
        <w:t>), los Miedos Médicos (</w:t>
      </w:r>
      <w:r w:rsidR="000A25CB" w:rsidRPr="000A25CB">
        <w:rPr>
          <w:i/>
        </w:rPr>
        <w:t>p</w:t>
      </w:r>
      <w:r w:rsidR="000A25CB">
        <w:t>=0.</w:t>
      </w:r>
      <w:r w:rsidR="005E06FF">
        <w:t xml:space="preserve">000). </w:t>
      </w:r>
      <w:r w:rsidR="00796910">
        <w:t xml:space="preserve">En todos </w:t>
      </w:r>
      <w:r w:rsidR="005E06FF">
        <w:t>los casos</w:t>
      </w:r>
      <w:r w:rsidR="00796910">
        <w:t>, l</w:t>
      </w:r>
      <w:r w:rsidRPr="007932D1">
        <w:t>as niñas reflejan niveles más altos</w:t>
      </w:r>
      <w:r w:rsidR="002933E9">
        <w:t xml:space="preserve">. </w:t>
      </w:r>
      <w:r w:rsidR="00C66087">
        <w:t>En Rendimiento,</w:t>
      </w:r>
      <w:r w:rsidR="00047658">
        <w:t xml:space="preserve"> aparecen diferencias significativas en </w:t>
      </w:r>
      <w:r w:rsidR="00C36919">
        <w:t xml:space="preserve">la </w:t>
      </w:r>
      <w:r w:rsidR="00C36919" w:rsidRPr="00C36919">
        <w:t>Media de Rendimiento Total (</w:t>
      </w:r>
      <w:r w:rsidR="000A25CB" w:rsidRPr="000A25CB">
        <w:rPr>
          <w:i/>
        </w:rPr>
        <w:t>p</w:t>
      </w:r>
      <w:r w:rsidR="000A25CB">
        <w:t>=0.</w:t>
      </w:r>
      <w:r w:rsidR="00C36919" w:rsidRPr="00C36919">
        <w:t>003)</w:t>
      </w:r>
      <w:r w:rsidR="00C36919">
        <w:t xml:space="preserve">, </w:t>
      </w:r>
      <w:r w:rsidR="00C36919" w:rsidRPr="00C36919">
        <w:t>el Rendimiento en la Materia 1 (</w:t>
      </w:r>
      <w:r w:rsidR="000A25CB" w:rsidRPr="000A25CB">
        <w:rPr>
          <w:i/>
        </w:rPr>
        <w:t>p</w:t>
      </w:r>
      <w:r w:rsidR="000A25CB">
        <w:t>=0.</w:t>
      </w:r>
      <w:r w:rsidR="00C36919" w:rsidRPr="00C36919">
        <w:t>000), la Materia 2 (</w:t>
      </w:r>
      <w:r w:rsidR="000A25CB" w:rsidRPr="000A25CB">
        <w:rPr>
          <w:i/>
        </w:rPr>
        <w:t>p</w:t>
      </w:r>
      <w:r w:rsidR="000A25CB">
        <w:t>=0.</w:t>
      </w:r>
      <w:r w:rsidR="00C36919" w:rsidRPr="00C36919">
        <w:t>019), la Materia 3 (</w:t>
      </w:r>
      <w:r w:rsidR="000A25CB" w:rsidRPr="000A25CB">
        <w:rPr>
          <w:i/>
        </w:rPr>
        <w:t>p</w:t>
      </w:r>
      <w:r w:rsidR="000A25CB">
        <w:t>=0.</w:t>
      </w:r>
      <w:r w:rsidR="00C36919" w:rsidRPr="00C36919">
        <w:t xml:space="preserve">009), </w:t>
      </w:r>
      <w:r w:rsidR="00C36919">
        <w:t>l</w:t>
      </w:r>
      <w:r w:rsidR="000A25CB">
        <w:t>a Materia 4 (</w:t>
      </w:r>
      <w:r w:rsidR="000A25CB" w:rsidRPr="000A25CB">
        <w:rPr>
          <w:i/>
        </w:rPr>
        <w:t>p</w:t>
      </w:r>
      <w:r w:rsidR="000A25CB">
        <w:t>=0.</w:t>
      </w:r>
      <w:r w:rsidR="00C36919" w:rsidRPr="00C36919">
        <w:t xml:space="preserve">006) y </w:t>
      </w:r>
      <w:r w:rsidR="00C36919">
        <w:t>l</w:t>
      </w:r>
      <w:r w:rsidR="000A25CB">
        <w:t>a Materia 5 (</w:t>
      </w:r>
      <w:r w:rsidR="000A25CB" w:rsidRPr="000A25CB">
        <w:rPr>
          <w:i/>
        </w:rPr>
        <w:t>p</w:t>
      </w:r>
      <w:r w:rsidR="000A25CB">
        <w:t>=0.</w:t>
      </w:r>
      <w:r w:rsidR="00C36919" w:rsidRPr="00C36919">
        <w:t xml:space="preserve">015). </w:t>
      </w:r>
      <w:r w:rsidR="00C36919">
        <w:t xml:space="preserve">La excepción es el </w:t>
      </w:r>
      <w:r w:rsidR="000A25CB">
        <w:t>Rendimiento en la Materia 6 (</w:t>
      </w:r>
      <w:r w:rsidR="000A25CB" w:rsidRPr="000A25CB">
        <w:rPr>
          <w:i/>
        </w:rPr>
        <w:t>p</w:t>
      </w:r>
      <w:r w:rsidR="000A25CB">
        <w:t>=0.</w:t>
      </w:r>
      <w:r w:rsidR="00C36919" w:rsidRPr="00C36919">
        <w:t>920</w:t>
      </w:r>
      <w:r w:rsidR="00C36919">
        <w:t xml:space="preserve">). </w:t>
      </w:r>
    </w:p>
    <w:p w:rsidR="00C36919" w:rsidRDefault="00C36919" w:rsidP="000A25CB">
      <w:pPr>
        <w:spacing w:line="360" w:lineRule="auto"/>
        <w:jc w:val="both"/>
      </w:pPr>
    </w:p>
    <w:p w:rsidR="00E66CA4" w:rsidRDefault="00C36919" w:rsidP="00A72028">
      <w:pPr>
        <w:spacing w:line="360" w:lineRule="auto"/>
        <w:ind w:firstLine="708"/>
        <w:jc w:val="center"/>
      </w:pPr>
      <w:r>
        <w:rPr>
          <w:b/>
          <w:sz w:val="20"/>
          <w:szCs w:val="20"/>
        </w:rPr>
        <w:t xml:space="preserve">Tabla 2. Miedo Rendimiento Académico y Factores en función del </w:t>
      </w:r>
      <w:r w:rsidR="00557F36" w:rsidRPr="00557F36">
        <w:rPr>
          <w:b/>
          <w:sz w:val="20"/>
          <w:szCs w:val="20"/>
        </w:rPr>
        <w:t>género</w:t>
      </w:r>
    </w:p>
    <w:p w:rsidR="00C36919" w:rsidRDefault="000A25CB" w:rsidP="000A25CB">
      <w:pPr>
        <w:spacing w:line="360" w:lineRule="auto"/>
        <w:jc w:val="center"/>
        <w:rPr>
          <w:b/>
          <w:bCs/>
        </w:rPr>
      </w:pPr>
      <w:r>
        <w:rPr>
          <w:b/>
          <w:bCs/>
          <w:noProof/>
        </w:rPr>
        <w:drawing>
          <wp:inline distT="0" distB="0" distL="0" distR="0" wp14:anchorId="74240F95" wp14:editId="2676B606">
            <wp:extent cx="4476750" cy="516255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76750" cy="5162550"/>
                    </a:xfrm>
                    <a:prstGeom prst="rect">
                      <a:avLst/>
                    </a:prstGeom>
                    <a:noFill/>
                    <a:ln>
                      <a:noFill/>
                    </a:ln>
                  </pic:spPr>
                </pic:pic>
              </a:graphicData>
            </a:graphic>
          </wp:inline>
        </w:drawing>
      </w:r>
    </w:p>
    <w:p w:rsidR="00E70C49" w:rsidRPr="005A36E9" w:rsidRDefault="00E70C49" w:rsidP="00A72028">
      <w:pPr>
        <w:spacing w:line="360" w:lineRule="auto"/>
        <w:jc w:val="both"/>
        <w:rPr>
          <w:b/>
          <w:bCs/>
        </w:rPr>
      </w:pPr>
      <w:r w:rsidRPr="005A36E9">
        <w:rPr>
          <w:b/>
          <w:bCs/>
        </w:rPr>
        <w:lastRenderedPageBreak/>
        <w:t>Cultura/Religión</w:t>
      </w:r>
    </w:p>
    <w:p w:rsidR="00291EEC" w:rsidRDefault="009F60CB" w:rsidP="00A72028">
      <w:pPr>
        <w:spacing w:line="360" w:lineRule="auto"/>
        <w:ind w:firstLine="708"/>
        <w:jc w:val="both"/>
      </w:pPr>
      <w:r>
        <w:t>L</w:t>
      </w:r>
      <w:r w:rsidRPr="009F60CB">
        <w:t>os resultados que los musulmanes presentan son superiores, algo totalmente visible si se consideran las medias (la de los cristianos es 1</w:t>
      </w:r>
      <w:r w:rsidR="009B5524">
        <w:t>.</w:t>
      </w:r>
      <w:r w:rsidRPr="009F60CB">
        <w:t>10 mientras que los musulmanes alcanzan 1</w:t>
      </w:r>
      <w:r w:rsidR="009B5524">
        <w:t>.</w:t>
      </w:r>
      <w:r w:rsidR="0048190A">
        <w:t>42), lógicamente</w:t>
      </w:r>
      <w:r w:rsidRPr="009F60CB">
        <w:t xml:space="preserve"> </w:t>
      </w:r>
      <w:r w:rsidR="0048190A">
        <w:t xml:space="preserve">sus porcentajes </w:t>
      </w:r>
      <w:r>
        <w:t xml:space="preserve">son más altos </w:t>
      </w:r>
      <w:r w:rsidRPr="009F60CB">
        <w:t xml:space="preserve">en la alternativa que refleja </w:t>
      </w:r>
      <w:r>
        <w:t>el</w:t>
      </w:r>
      <w:r w:rsidRPr="009F60CB">
        <w:t xml:space="preserve"> nivel </w:t>
      </w:r>
      <w:r>
        <w:t>superior</w:t>
      </w:r>
      <w:r w:rsidRPr="009F60CB">
        <w:t xml:space="preserve"> de miedo (7</w:t>
      </w:r>
      <w:r w:rsidR="009B5524">
        <w:t>.</w:t>
      </w:r>
      <w:r w:rsidRPr="009F60CB">
        <w:t>2% de los musulmanes reflejan mucho miedo), en comparación con los pertenecientes a la religión cristiana (1</w:t>
      </w:r>
      <w:r w:rsidR="009B5524">
        <w:t>.</w:t>
      </w:r>
      <w:r w:rsidRPr="009F60CB">
        <w:t>9%). Sin embargo son los pertenecientes a la cultura cristiana los que superan a los musulmanes en la opción muy poco miedo (26</w:t>
      </w:r>
      <w:r w:rsidR="009B5524">
        <w:t>.</w:t>
      </w:r>
      <w:r w:rsidRPr="009F60CB">
        <w:t>6% por 14</w:t>
      </w:r>
      <w:r w:rsidR="009B5524">
        <w:t>.</w:t>
      </w:r>
      <w:r w:rsidRPr="009F60CB">
        <w:t>1%). Esto muestra que l</w:t>
      </w:r>
      <w:r>
        <w:t>o</w:t>
      </w:r>
      <w:r w:rsidRPr="009F60CB">
        <w:t>s musulmanes evidenci</w:t>
      </w:r>
      <w:r>
        <w:t>an niveles superiores de miedo</w:t>
      </w:r>
      <w:r w:rsidR="0048190A">
        <w:t xml:space="preserve"> (gráfico4)</w:t>
      </w:r>
      <w:r>
        <w:t xml:space="preserve">. </w:t>
      </w:r>
      <w:r w:rsidR="00CD52E4" w:rsidRPr="00204596">
        <w:t>Lo mismo</w:t>
      </w:r>
      <w:r w:rsidR="00CD52E4">
        <w:t xml:space="preserve"> </w:t>
      </w:r>
      <w:r w:rsidR="00CD52E4" w:rsidRPr="00204596">
        <w:t xml:space="preserve"> ocurre en </w:t>
      </w:r>
      <w:r w:rsidR="00CD52E4">
        <w:t xml:space="preserve"> </w:t>
      </w:r>
      <w:r w:rsidR="000165D2">
        <w:t xml:space="preserve">la mayoría de </w:t>
      </w:r>
      <w:r w:rsidR="002933E9" w:rsidRPr="00204596">
        <w:t xml:space="preserve">factores de Miedo: </w:t>
      </w:r>
      <w:r w:rsidR="000165D2" w:rsidRPr="00204596">
        <w:t>Miedo a lo Desconocido (</w:t>
      </w:r>
      <w:r w:rsidR="000165D2">
        <w:t>1</w:t>
      </w:r>
      <w:r w:rsidR="009B5524">
        <w:t>.</w:t>
      </w:r>
      <w:r w:rsidR="000165D2">
        <w:t>04</w:t>
      </w:r>
      <w:r w:rsidR="000165D2" w:rsidRPr="00204596">
        <w:t xml:space="preserve"> en musulmanes por </w:t>
      </w:r>
      <w:r w:rsidR="000165D2">
        <w:t>0</w:t>
      </w:r>
      <w:r w:rsidR="009B5524">
        <w:t>.</w:t>
      </w:r>
      <w:r w:rsidR="000165D2">
        <w:t>80</w:t>
      </w:r>
      <w:r w:rsidR="000165D2" w:rsidRPr="00204596">
        <w:t xml:space="preserve"> en cristianos),</w:t>
      </w:r>
      <w:r w:rsidR="000165D2">
        <w:t xml:space="preserve"> </w:t>
      </w:r>
      <w:r w:rsidR="000165D2" w:rsidRPr="00204596">
        <w:t>Miedo a la Muerte (</w:t>
      </w:r>
      <w:r w:rsidR="000165D2">
        <w:t>2</w:t>
      </w:r>
      <w:r w:rsidR="009B5524">
        <w:t>.</w:t>
      </w:r>
      <w:r w:rsidR="000165D2">
        <w:t>04 frente a 1</w:t>
      </w:r>
      <w:r w:rsidR="009B5524">
        <w:t>.</w:t>
      </w:r>
      <w:r w:rsidR="000165D2">
        <w:t xml:space="preserve">96 en cristianos), </w:t>
      </w:r>
      <w:r w:rsidR="002933E9" w:rsidRPr="00204596">
        <w:t>Miedo a los Animales (</w:t>
      </w:r>
      <w:r w:rsidR="000165D2">
        <w:t>1</w:t>
      </w:r>
      <w:r w:rsidR="009B5524">
        <w:t>.</w:t>
      </w:r>
      <w:r w:rsidR="000165D2">
        <w:t>41</w:t>
      </w:r>
      <w:r w:rsidR="002933E9" w:rsidRPr="00204596">
        <w:t xml:space="preserve"> de los musulmanes por </w:t>
      </w:r>
      <w:r w:rsidR="000165D2">
        <w:t>1</w:t>
      </w:r>
      <w:r w:rsidR="009B5524">
        <w:t>.</w:t>
      </w:r>
      <w:r w:rsidR="000165D2">
        <w:t xml:space="preserve">02 </w:t>
      </w:r>
      <w:r w:rsidR="002933E9" w:rsidRPr="00204596">
        <w:t>para los cristianos)</w:t>
      </w:r>
      <w:r w:rsidR="002933E9">
        <w:t>,</w:t>
      </w:r>
      <w:r w:rsidR="002933E9" w:rsidRPr="00204596">
        <w:t xml:space="preserve"> </w:t>
      </w:r>
      <w:r w:rsidR="000165D2">
        <w:t>Miedo a la Crítica y al Engaño</w:t>
      </w:r>
      <w:r w:rsidR="000165D2" w:rsidRPr="000165D2">
        <w:t xml:space="preserve"> </w:t>
      </w:r>
      <w:r w:rsidR="000165D2" w:rsidRPr="00204596">
        <w:t>(</w:t>
      </w:r>
      <w:r w:rsidR="000165D2">
        <w:t>1</w:t>
      </w:r>
      <w:r w:rsidR="009B5524">
        <w:t>.</w:t>
      </w:r>
      <w:r w:rsidR="000165D2">
        <w:t>03</w:t>
      </w:r>
      <w:r w:rsidR="000165D2" w:rsidRPr="00204596">
        <w:t xml:space="preserve"> por </w:t>
      </w:r>
      <w:r w:rsidR="009B5524">
        <w:t>1.</w:t>
      </w:r>
      <w:r w:rsidR="000165D2">
        <w:t>12</w:t>
      </w:r>
      <w:r w:rsidR="000165D2" w:rsidRPr="00204596">
        <w:t xml:space="preserve"> en musulmanes)</w:t>
      </w:r>
      <w:r w:rsidR="000165D2">
        <w:t xml:space="preserve"> </w:t>
      </w:r>
      <w:r w:rsidR="002933E9" w:rsidRPr="00204596">
        <w:t>y Miedos Escolares (</w:t>
      </w:r>
      <w:r w:rsidR="009B5524">
        <w:t>1.</w:t>
      </w:r>
      <w:r w:rsidR="000165D2">
        <w:t>55</w:t>
      </w:r>
      <w:r w:rsidR="002933E9" w:rsidRPr="00204596">
        <w:t xml:space="preserve"> por </w:t>
      </w:r>
      <w:r w:rsidR="000165D2">
        <w:t>1</w:t>
      </w:r>
      <w:r w:rsidR="009B5524">
        <w:t>.</w:t>
      </w:r>
      <w:r w:rsidR="000165D2">
        <w:t>3</w:t>
      </w:r>
      <w:r w:rsidR="002933E9" w:rsidRPr="00204596">
        <w:t xml:space="preserve"> de los cristianos). No es así en el ca</w:t>
      </w:r>
      <w:r w:rsidR="000165D2">
        <w:t>so de los Miedos Médicos, donde los cristianos superan mínimamente a los musulmanes (sus medias son 0</w:t>
      </w:r>
      <w:r w:rsidR="009B5524">
        <w:t>.</w:t>
      </w:r>
      <w:r w:rsidR="000165D2">
        <w:t>52 y 0</w:t>
      </w:r>
      <w:r w:rsidR="009B5524">
        <w:t>.</w:t>
      </w:r>
      <w:r w:rsidR="000165D2">
        <w:t>49 respectivamente)</w:t>
      </w:r>
      <w:r w:rsidR="000165D2" w:rsidRPr="00204596">
        <w:t>.</w:t>
      </w:r>
      <w:r w:rsidR="002933E9" w:rsidRPr="00204596">
        <w:t xml:space="preserve"> </w:t>
      </w:r>
    </w:p>
    <w:p w:rsidR="00C76B29" w:rsidRPr="00937652" w:rsidRDefault="0048190A" w:rsidP="00A72028">
      <w:pPr>
        <w:spacing w:line="360" w:lineRule="auto"/>
        <w:ind w:firstLine="708"/>
        <w:jc w:val="center"/>
        <w:rPr>
          <w:color w:val="000000" w:themeColor="text1"/>
          <w:sz w:val="20"/>
          <w:szCs w:val="20"/>
          <w:lang w:eastAsia="en-US"/>
        </w:rPr>
      </w:pPr>
      <w:r>
        <w:rPr>
          <w:b/>
          <w:color w:val="000000" w:themeColor="text1"/>
          <w:sz w:val="20"/>
          <w:szCs w:val="20"/>
        </w:rPr>
        <w:t>Gráfico 4</w:t>
      </w:r>
      <w:r w:rsidR="00C76B29" w:rsidRPr="00937652">
        <w:rPr>
          <w:b/>
          <w:color w:val="000000" w:themeColor="text1"/>
          <w:sz w:val="20"/>
          <w:szCs w:val="20"/>
        </w:rPr>
        <w:t>. Miedo-Cultura</w:t>
      </w:r>
    </w:p>
    <w:p w:rsidR="00C76B29" w:rsidRDefault="00937652" w:rsidP="00A72028">
      <w:pPr>
        <w:spacing w:line="360" w:lineRule="auto"/>
        <w:ind w:firstLine="708"/>
        <w:jc w:val="center"/>
      </w:pPr>
      <w:r>
        <w:rPr>
          <w:noProof/>
        </w:rPr>
        <w:drawing>
          <wp:inline distT="0" distB="0" distL="0" distR="0" wp14:anchorId="74B4653A" wp14:editId="479C64E5">
            <wp:extent cx="4029075" cy="2381250"/>
            <wp:effectExtent l="0" t="0" r="9525"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D0308" w:rsidRDefault="0048190A" w:rsidP="00A72028">
      <w:pPr>
        <w:autoSpaceDE w:val="0"/>
        <w:autoSpaceDN w:val="0"/>
        <w:adjustRightInd w:val="0"/>
        <w:spacing w:line="360" w:lineRule="auto"/>
        <w:ind w:firstLine="708"/>
        <w:jc w:val="both"/>
      </w:pPr>
      <w:r>
        <w:t xml:space="preserve">De forma contraria, </w:t>
      </w:r>
      <w:r w:rsidR="008D0308" w:rsidRPr="008D0308">
        <w:t>se puede decir que las calificaciones son claramente superiores entre los cristianos, ya que superan a los musulmanes en Rendimiento medio general. La media de los cristianos es de 7, mientras que la de los musulmanes es de 5</w:t>
      </w:r>
      <w:r>
        <w:t>.</w:t>
      </w:r>
      <w:r w:rsidR="008D0308" w:rsidRPr="008D0308">
        <w:t>87. Así, los porcentajes muestran un predominio entre los cristianos en lo que a sobresalientes (22</w:t>
      </w:r>
      <w:r>
        <w:t>.</w:t>
      </w:r>
      <w:r w:rsidR="008D0308" w:rsidRPr="008D0308">
        <w:t>4</w:t>
      </w:r>
      <w:r>
        <w:t>% frente al 7.</w:t>
      </w:r>
      <w:r w:rsidR="008D0308" w:rsidRPr="008D0308">
        <w:t>2%) y n</w:t>
      </w:r>
      <w:r>
        <w:t>otables (42% en cristianos y 29.</w:t>
      </w:r>
      <w:r w:rsidR="008D0308" w:rsidRPr="008D0308">
        <w:t>4% en musulmanes) se refiere. Por su lado, la población cristiana tiene porcentajes claramente inferiores en cuanto a suspensos (10</w:t>
      </w:r>
      <w:r>
        <w:t>.</w:t>
      </w:r>
      <w:r w:rsidR="008D0308" w:rsidRPr="008D0308">
        <w:t>6% frente a 30</w:t>
      </w:r>
      <w:r>
        <w:t>.</w:t>
      </w:r>
      <w:r w:rsidR="008D0308" w:rsidRPr="008D0308">
        <w:t>9%).</w:t>
      </w:r>
      <w:r w:rsidR="008D0308">
        <w:t xml:space="preserve"> </w:t>
      </w:r>
      <w:r w:rsidR="009722AF" w:rsidRPr="009722AF">
        <w:t xml:space="preserve">Las medias </w:t>
      </w:r>
      <w:r w:rsidR="000A3263">
        <w:t xml:space="preserve">descritas por cada grupo apoyan </w:t>
      </w:r>
      <w:r w:rsidR="009722AF" w:rsidRPr="009722AF">
        <w:t xml:space="preserve">estas diferencias, </w:t>
      </w:r>
      <w:r w:rsidR="000A3263">
        <w:t>obteniendo peores resultados los musulmanes</w:t>
      </w:r>
      <w:r w:rsidR="009722AF" w:rsidRPr="009722AF">
        <w:t>,</w:t>
      </w:r>
      <w:r w:rsidR="000A3263">
        <w:t xml:space="preserve"> </w:t>
      </w:r>
      <w:r w:rsidR="009722AF" w:rsidRPr="009722AF">
        <w:t xml:space="preserve">en el </w:t>
      </w:r>
      <w:r w:rsidR="008D0308">
        <w:t xml:space="preserve">la </w:t>
      </w:r>
      <w:r w:rsidR="008D0308">
        <w:lastRenderedPageBreak/>
        <w:t>Materia 1 (</w:t>
      </w:r>
      <w:r w:rsidR="000A3263" w:rsidRPr="009722AF">
        <w:t>musulmanes 6</w:t>
      </w:r>
      <w:r>
        <w:t>.</w:t>
      </w:r>
      <w:r w:rsidR="008D0308">
        <w:t>8</w:t>
      </w:r>
      <w:r w:rsidR="000A3263" w:rsidRPr="009722AF">
        <w:t>1</w:t>
      </w:r>
      <w:r w:rsidR="000A3263">
        <w:t xml:space="preserve"> </w:t>
      </w:r>
      <w:r w:rsidR="000A3263" w:rsidRPr="009722AF">
        <w:t xml:space="preserve">y </w:t>
      </w:r>
      <w:r w:rsidR="009722AF" w:rsidRPr="009722AF">
        <w:t xml:space="preserve">cristianos </w:t>
      </w:r>
      <w:r w:rsidR="008D0308">
        <w:t>5</w:t>
      </w:r>
      <w:r>
        <w:t>.</w:t>
      </w:r>
      <w:r w:rsidR="008D0308">
        <w:t>52</w:t>
      </w:r>
      <w:r w:rsidR="009722AF" w:rsidRPr="009722AF">
        <w:t xml:space="preserve">), </w:t>
      </w:r>
      <w:r w:rsidR="008D0308">
        <w:t xml:space="preserve">la Materia 2 </w:t>
      </w:r>
      <w:r w:rsidR="009722AF" w:rsidRPr="009722AF">
        <w:t xml:space="preserve">(musulmanes </w:t>
      </w:r>
      <w:r w:rsidR="008D0308">
        <w:t>5</w:t>
      </w:r>
      <w:r>
        <w:t>.</w:t>
      </w:r>
      <w:r w:rsidR="008D0308">
        <w:t>55</w:t>
      </w:r>
      <w:r w:rsidR="009722AF" w:rsidRPr="009722AF">
        <w:t xml:space="preserve"> y cristianos </w:t>
      </w:r>
      <w:r w:rsidR="008D0308">
        <w:t>6</w:t>
      </w:r>
      <w:r>
        <w:t>.</w:t>
      </w:r>
      <w:r w:rsidR="008D0308">
        <w:t>91</w:t>
      </w:r>
      <w:r w:rsidR="009722AF" w:rsidRPr="009722AF">
        <w:t xml:space="preserve">), </w:t>
      </w:r>
      <w:r w:rsidR="008D0308">
        <w:t xml:space="preserve">la </w:t>
      </w:r>
      <w:r w:rsidR="009722AF" w:rsidRPr="009722AF">
        <w:t>Mate</w:t>
      </w:r>
      <w:r w:rsidR="008D0308">
        <w:t>ria 3 (musulmanes 6</w:t>
      </w:r>
      <w:r>
        <w:t>.</w:t>
      </w:r>
      <w:r w:rsidR="008D0308">
        <w:t>08</w:t>
      </w:r>
      <w:r w:rsidR="000A3263" w:rsidRPr="000A3263">
        <w:t xml:space="preserve"> </w:t>
      </w:r>
      <w:r>
        <w:t>y cristianos 7.</w:t>
      </w:r>
      <w:r w:rsidR="000A3263" w:rsidRPr="009722AF">
        <w:t>0</w:t>
      </w:r>
      <w:r w:rsidR="008D0308">
        <w:t>8</w:t>
      </w:r>
      <w:r w:rsidR="009722AF" w:rsidRPr="009722AF">
        <w:t xml:space="preserve">), </w:t>
      </w:r>
      <w:r w:rsidR="008D0308">
        <w:t xml:space="preserve">la Materia 4 </w:t>
      </w:r>
      <w:r w:rsidR="009722AF" w:rsidRPr="009722AF">
        <w:t xml:space="preserve">(musulmanes </w:t>
      </w:r>
      <w:r w:rsidR="008D0308">
        <w:t>5</w:t>
      </w:r>
      <w:r>
        <w:t>.</w:t>
      </w:r>
      <w:r w:rsidR="008D0308">
        <w:t>69</w:t>
      </w:r>
      <w:r w:rsidR="009722AF" w:rsidRPr="009722AF">
        <w:t xml:space="preserve"> y cristianos </w:t>
      </w:r>
      <w:r w:rsidR="008D0308">
        <w:t>6</w:t>
      </w:r>
      <w:r>
        <w:t>.</w:t>
      </w:r>
      <w:r w:rsidR="008D0308">
        <w:t>67</w:t>
      </w:r>
      <w:r w:rsidR="009722AF" w:rsidRPr="009722AF">
        <w:t>), l</w:t>
      </w:r>
      <w:r w:rsidR="008D0308">
        <w:t>a</w:t>
      </w:r>
      <w:r w:rsidR="009722AF" w:rsidRPr="009722AF">
        <w:t xml:space="preserve"> </w:t>
      </w:r>
      <w:r w:rsidR="008D0308">
        <w:t xml:space="preserve">Materia 5 </w:t>
      </w:r>
      <w:r w:rsidR="009722AF" w:rsidRPr="009722AF">
        <w:t xml:space="preserve">(musulmanes </w:t>
      </w:r>
      <w:r w:rsidR="008D0308">
        <w:t>6</w:t>
      </w:r>
      <w:r>
        <w:t>.</w:t>
      </w:r>
      <w:r w:rsidR="008D0308">
        <w:t>57</w:t>
      </w:r>
      <w:r w:rsidR="009722AF" w:rsidRPr="009722AF">
        <w:t xml:space="preserve"> y cristianos </w:t>
      </w:r>
      <w:r w:rsidR="008D0308">
        <w:t>7</w:t>
      </w:r>
      <w:r>
        <w:t>.</w:t>
      </w:r>
      <w:r w:rsidR="008D0308">
        <w:t>68</w:t>
      </w:r>
      <w:r w:rsidR="009722AF" w:rsidRPr="009722AF">
        <w:t xml:space="preserve">) y </w:t>
      </w:r>
      <w:r w:rsidR="008D0308">
        <w:t xml:space="preserve">la Materia 6 </w:t>
      </w:r>
      <w:r w:rsidR="009722AF" w:rsidRPr="009722AF">
        <w:t>(</w:t>
      </w:r>
      <w:r w:rsidR="000A3263">
        <w:t>cristi</w:t>
      </w:r>
      <w:r w:rsidR="009722AF" w:rsidRPr="009722AF">
        <w:t xml:space="preserve">anos </w:t>
      </w:r>
      <w:r w:rsidR="008D0308">
        <w:t>6</w:t>
      </w:r>
      <w:r>
        <w:t>.</w:t>
      </w:r>
      <w:r w:rsidR="008D0308">
        <w:t>74</w:t>
      </w:r>
      <w:r w:rsidR="009722AF" w:rsidRPr="009722AF">
        <w:t xml:space="preserve"> y </w:t>
      </w:r>
      <w:r w:rsidR="008D0308">
        <w:t>5</w:t>
      </w:r>
      <w:r>
        <w:t>.</w:t>
      </w:r>
      <w:r w:rsidR="008D0308">
        <w:t>53</w:t>
      </w:r>
      <w:r w:rsidR="009722AF" w:rsidRPr="009722AF">
        <w:t xml:space="preserve"> </w:t>
      </w:r>
      <w:r w:rsidR="000A3263">
        <w:t>musulmanes</w:t>
      </w:r>
      <w:r w:rsidR="009722AF" w:rsidRPr="009722AF">
        <w:t>).</w:t>
      </w:r>
    </w:p>
    <w:p w:rsidR="002933E9" w:rsidRDefault="00F077C2" w:rsidP="00A72028">
      <w:pPr>
        <w:spacing w:line="360" w:lineRule="auto"/>
        <w:ind w:firstLine="708"/>
        <w:jc w:val="both"/>
      </w:pPr>
      <w:r>
        <w:t>Los resultados de la estadística inferencial</w:t>
      </w:r>
      <w:r w:rsidR="00A057A3">
        <w:t xml:space="preserve"> (reflejados en la tabla 3)</w:t>
      </w:r>
      <w:r>
        <w:t xml:space="preserve"> demuestran que la </w:t>
      </w:r>
      <w:r w:rsidR="007604BE">
        <w:t xml:space="preserve">cultura </w:t>
      </w:r>
      <w:r w:rsidR="007932D1" w:rsidRPr="007932D1">
        <w:t xml:space="preserve">influye en </w:t>
      </w:r>
      <w:r w:rsidR="00407FF8" w:rsidRPr="00407FF8">
        <w:t>Miedo Total (</w:t>
      </w:r>
      <w:r w:rsidR="0048190A">
        <w:rPr>
          <w:i/>
        </w:rPr>
        <w:t>p</w:t>
      </w:r>
      <w:r w:rsidR="0048190A">
        <w:t>=0.</w:t>
      </w:r>
      <w:r w:rsidR="00407FF8" w:rsidRPr="00407FF8">
        <w:t>000), el Miedo a lo Desconocido (</w:t>
      </w:r>
      <w:r w:rsidR="0048190A">
        <w:rPr>
          <w:i/>
        </w:rPr>
        <w:t>p</w:t>
      </w:r>
      <w:r w:rsidR="0048190A">
        <w:t>=0.</w:t>
      </w:r>
      <w:r w:rsidR="00407FF8" w:rsidRPr="00407FF8">
        <w:t>000), el Miedo a los Animales (</w:t>
      </w:r>
      <w:r w:rsidR="0048190A">
        <w:rPr>
          <w:i/>
        </w:rPr>
        <w:t>p</w:t>
      </w:r>
      <w:r w:rsidR="0048190A">
        <w:t>=0.</w:t>
      </w:r>
      <w:r w:rsidR="00407FF8" w:rsidRPr="00407FF8">
        <w:t>000),</w:t>
      </w:r>
      <w:r w:rsidR="008000BA">
        <w:t xml:space="preserve"> los Miedos Escolares (</w:t>
      </w:r>
      <w:r w:rsidR="0048190A">
        <w:rPr>
          <w:i/>
        </w:rPr>
        <w:t>p</w:t>
      </w:r>
      <w:r w:rsidR="0048190A">
        <w:t>=0.</w:t>
      </w:r>
      <w:r w:rsidR="008000BA">
        <w:t xml:space="preserve">000). </w:t>
      </w:r>
      <w:r w:rsidR="008000BA" w:rsidRPr="008000BA">
        <w:t>En todas las ocasiones, el alumnado de cultura /religión musulmana presenta niveles superiores de miedo.</w:t>
      </w:r>
      <w:r w:rsidR="008000BA">
        <w:t xml:space="preserve"> </w:t>
      </w:r>
      <w:r w:rsidR="00050F04">
        <w:t xml:space="preserve">También </w:t>
      </w:r>
      <w:r w:rsidR="00047658">
        <w:t xml:space="preserve">influye en </w:t>
      </w:r>
      <w:r w:rsidR="00050F04">
        <w:t>e</w:t>
      </w:r>
      <w:r w:rsidR="00047658">
        <w:t>l</w:t>
      </w:r>
      <w:r w:rsidR="00050F04">
        <w:t xml:space="preserve"> </w:t>
      </w:r>
      <w:r w:rsidR="00885EE5" w:rsidRPr="00885EE5">
        <w:t>Media de Rendimiento Total (</w:t>
      </w:r>
      <w:r w:rsidR="0048190A">
        <w:rPr>
          <w:i/>
        </w:rPr>
        <w:t>p</w:t>
      </w:r>
      <w:r w:rsidR="0048190A">
        <w:t>=0.</w:t>
      </w:r>
      <w:r w:rsidR="00885EE5" w:rsidRPr="00885EE5">
        <w:t>000), el Rendimiento en la Materia 1 (</w:t>
      </w:r>
      <w:r w:rsidR="0048190A">
        <w:rPr>
          <w:i/>
        </w:rPr>
        <w:t>p</w:t>
      </w:r>
      <w:r w:rsidR="0048190A">
        <w:t>=0.</w:t>
      </w:r>
      <w:r w:rsidR="00885EE5" w:rsidRPr="00885EE5">
        <w:t>000), el Rendimiento en la Materia 2 (</w:t>
      </w:r>
      <w:r w:rsidR="0048190A">
        <w:rPr>
          <w:i/>
        </w:rPr>
        <w:t>p</w:t>
      </w:r>
      <w:r w:rsidR="0048190A">
        <w:t>=0.</w:t>
      </w:r>
      <w:r w:rsidR="00885EE5" w:rsidRPr="00885EE5">
        <w:t>000), el Rendimiento en la Materia 3 (</w:t>
      </w:r>
      <w:r w:rsidR="0048190A">
        <w:rPr>
          <w:i/>
        </w:rPr>
        <w:t>p</w:t>
      </w:r>
      <w:r w:rsidR="0048190A">
        <w:t>=0.</w:t>
      </w:r>
      <w:r w:rsidR="00885EE5" w:rsidRPr="00885EE5">
        <w:t>000), el Rendimiento en la Materia 4 (</w:t>
      </w:r>
      <w:r w:rsidR="0048190A">
        <w:rPr>
          <w:i/>
        </w:rPr>
        <w:t>p</w:t>
      </w:r>
      <w:r w:rsidR="0048190A">
        <w:t>=0.</w:t>
      </w:r>
      <w:r w:rsidR="00885EE5" w:rsidRPr="00885EE5">
        <w:t>000), el Rendimiento en la Materia 5 (</w:t>
      </w:r>
      <w:r w:rsidR="0048190A">
        <w:rPr>
          <w:i/>
        </w:rPr>
        <w:t>p</w:t>
      </w:r>
      <w:r w:rsidR="0048190A">
        <w:t>=0.0</w:t>
      </w:r>
      <w:r w:rsidR="00885EE5" w:rsidRPr="00885EE5">
        <w:t>00) y el Rendimiento en la Materia 6 (</w:t>
      </w:r>
      <w:r w:rsidR="0048190A">
        <w:rPr>
          <w:i/>
        </w:rPr>
        <w:t>p</w:t>
      </w:r>
      <w:r w:rsidR="0048190A">
        <w:t>=0.</w:t>
      </w:r>
      <w:r w:rsidR="00885EE5" w:rsidRPr="00885EE5">
        <w:t>000).</w:t>
      </w:r>
      <w:r w:rsidR="00E36404">
        <w:t xml:space="preserve"> </w:t>
      </w:r>
      <w:r w:rsidR="00047658">
        <w:t xml:space="preserve">En todos los casos, el grupo de </w:t>
      </w:r>
      <w:r w:rsidR="00050F04">
        <w:t>cristianos</w:t>
      </w:r>
      <w:r w:rsidR="00047658">
        <w:t xml:space="preserve"> </w:t>
      </w:r>
      <w:r w:rsidR="00FC273F">
        <w:t xml:space="preserve">vuelve a obtener </w:t>
      </w:r>
      <w:r w:rsidR="00047658">
        <w:t>mejores resultados que los musulman</w:t>
      </w:r>
      <w:r w:rsidR="00050F04">
        <w:t>es</w:t>
      </w:r>
      <w:r w:rsidR="00E36404">
        <w:t>.</w:t>
      </w:r>
    </w:p>
    <w:p w:rsidR="0048190A" w:rsidRDefault="0048190A" w:rsidP="0048190A">
      <w:pPr>
        <w:autoSpaceDE w:val="0"/>
        <w:autoSpaceDN w:val="0"/>
        <w:adjustRightInd w:val="0"/>
        <w:spacing w:line="360" w:lineRule="auto"/>
        <w:rPr>
          <w:b/>
          <w:sz w:val="20"/>
          <w:szCs w:val="20"/>
        </w:rPr>
      </w:pPr>
    </w:p>
    <w:p w:rsidR="00851D99" w:rsidRDefault="00851D99" w:rsidP="0048190A">
      <w:pPr>
        <w:autoSpaceDE w:val="0"/>
        <w:autoSpaceDN w:val="0"/>
        <w:adjustRightInd w:val="0"/>
        <w:spacing w:line="360" w:lineRule="auto"/>
        <w:jc w:val="center"/>
        <w:rPr>
          <w:b/>
          <w:sz w:val="20"/>
          <w:szCs w:val="20"/>
        </w:rPr>
      </w:pPr>
      <w:r>
        <w:rPr>
          <w:b/>
          <w:sz w:val="20"/>
          <w:szCs w:val="20"/>
        </w:rPr>
        <w:t>Tabla 3. Miedo</w:t>
      </w:r>
      <w:r w:rsidR="0048190A">
        <w:rPr>
          <w:b/>
          <w:sz w:val="20"/>
          <w:szCs w:val="20"/>
        </w:rPr>
        <w:t xml:space="preserve">, </w:t>
      </w:r>
      <w:r>
        <w:rPr>
          <w:b/>
          <w:sz w:val="20"/>
          <w:szCs w:val="20"/>
        </w:rPr>
        <w:t>Rendimiento Académico y Factores en función de la cultura</w:t>
      </w:r>
    </w:p>
    <w:p w:rsidR="002933E9" w:rsidRDefault="0048190A" w:rsidP="00A72028">
      <w:pPr>
        <w:spacing w:line="360" w:lineRule="auto"/>
        <w:ind w:firstLine="708"/>
        <w:jc w:val="center"/>
      </w:pPr>
      <w:r>
        <w:rPr>
          <w:noProof/>
        </w:rPr>
        <w:drawing>
          <wp:inline distT="0" distB="0" distL="0" distR="0">
            <wp:extent cx="4495800" cy="498157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4981575"/>
                    </a:xfrm>
                    <a:prstGeom prst="rect">
                      <a:avLst/>
                    </a:prstGeom>
                    <a:noFill/>
                    <a:ln>
                      <a:noFill/>
                    </a:ln>
                  </pic:spPr>
                </pic:pic>
              </a:graphicData>
            </a:graphic>
          </wp:inline>
        </w:drawing>
      </w:r>
    </w:p>
    <w:p w:rsidR="002933E9" w:rsidRPr="005A36E9" w:rsidRDefault="002933E9" w:rsidP="00A72028">
      <w:pPr>
        <w:spacing w:line="360" w:lineRule="auto"/>
        <w:jc w:val="both"/>
        <w:rPr>
          <w:b/>
          <w:bCs/>
        </w:rPr>
      </w:pPr>
      <w:r w:rsidRPr="005A36E9">
        <w:rPr>
          <w:b/>
          <w:bCs/>
        </w:rPr>
        <w:lastRenderedPageBreak/>
        <w:t>Est</w:t>
      </w:r>
      <w:r>
        <w:rPr>
          <w:b/>
          <w:bCs/>
        </w:rPr>
        <w:t>atus socio-económico y cultural</w:t>
      </w:r>
    </w:p>
    <w:p w:rsidR="00BA1EBE" w:rsidRDefault="00242D81" w:rsidP="00A72028">
      <w:pPr>
        <w:spacing w:line="360" w:lineRule="auto"/>
        <w:ind w:firstLine="708"/>
        <w:jc w:val="both"/>
      </w:pPr>
      <w:r>
        <w:t>Para la variable Miedo, e</w:t>
      </w:r>
      <w:r w:rsidRPr="00242D81">
        <w:t>l grupo de menor nivel socioeconómico (bajo) es el que refleja puntuaciones ligeramente más altas (1</w:t>
      </w:r>
      <w:r w:rsidR="00695FBF">
        <w:t>.</w:t>
      </w:r>
      <w:r w:rsidRPr="00242D81">
        <w:t xml:space="preserve">71), así como los porcentajes más </w:t>
      </w:r>
      <w:r>
        <w:t>elevados</w:t>
      </w:r>
      <w:r w:rsidRPr="00242D81">
        <w:t xml:space="preserve"> en la opción mucho (18</w:t>
      </w:r>
      <w:r w:rsidR="00695FBF">
        <w:t>.</w:t>
      </w:r>
      <w:r w:rsidRPr="00242D81">
        <w:t>9%) y los menores en la de muy poco miedo (5</w:t>
      </w:r>
      <w:r w:rsidR="00695FBF">
        <w:t>.</w:t>
      </w:r>
      <w:r w:rsidRPr="00242D81">
        <w:t>6%). El siguiente es el grupo de nivel más alto (1</w:t>
      </w:r>
      <w:r w:rsidR="00695FBF">
        <w:t>.</w:t>
      </w:r>
      <w:r w:rsidRPr="00242D81">
        <w:t>33) con los segundos po</w:t>
      </w:r>
      <w:r w:rsidR="00695FBF">
        <w:t>rcentajes más altos en mucho (3.</w:t>
      </w:r>
      <w:r w:rsidRPr="00242D81">
        <w:t xml:space="preserve">6%) y más bajos en muy poco (18%). </w:t>
      </w:r>
      <w:r>
        <w:t>L</w:t>
      </w:r>
      <w:r w:rsidRPr="00242D81">
        <w:t xml:space="preserve">os grupos que quedan entre ambos son los que reflejan niveles menores. </w:t>
      </w:r>
      <w:r>
        <w:t>E</w:t>
      </w:r>
      <w:r w:rsidR="00695FBF">
        <w:t>l estatus medio (1.</w:t>
      </w:r>
      <w:r w:rsidRPr="00242D81">
        <w:t xml:space="preserve">16) con los niveles más bajos, presenta los porcentajes </w:t>
      </w:r>
      <w:r w:rsidR="00695FBF">
        <w:t>más altos en muy poco miedo (22.</w:t>
      </w:r>
      <w:r w:rsidRPr="00242D81">
        <w:t xml:space="preserve">5%) y </w:t>
      </w:r>
      <w:r w:rsidR="00695FBF">
        <w:t>los más bajos en mucho miedo (1.</w:t>
      </w:r>
      <w:r w:rsidRPr="00242D81">
        <w:t>6%) con r</w:t>
      </w:r>
      <w:r w:rsidR="00695FBF">
        <w:t>especto al nivel medio-bajo (21.5% en muy poco y 3.</w:t>
      </w:r>
      <w:r w:rsidRPr="00242D81">
        <w:t xml:space="preserve">5% en </w:t>
      </w:r>
      <w:r w:rsidR="00695FBF">
        <w:t>mucho, junto con una media de 1.</w:t>
      </w:r>
      <w:r w:rsidRPr="00242D81">
        <w:t>26).</w:t>
      </w:r>
      <w:r>
        <w:t xml:space="preserve"> </w:t>
      </w:r>
      <w:r w:rsidR="00AE19C2">
        <w:t xml:space="preserve">El estatus bajo es el que refleja puntuaciones claramente más altas en las diferentes categorías </w:t>
      </w:r>
      <w:r w:rsidR="002933E9" w:rsidRPr="00FF4C0B">
        <w:t>(Miedo a lo Desconocido -</w:t>
      </w:r>
      <w:r w:rsidR="00695FBF">
        <w:t>1.</w:t>
      </w:r>
      <w:r w:rsidR="00AE19C2">
        <w:t>41</w:t>
      </w:r>
      <w:r w:rsidR="00695FBF">
        <w:t>-, a la Muerte -2.</w:t>
      </w:r>
      <w:r w:rsidR="00AE19C2">
        <w:t>20</w:t>
      </w:r>
      <w:r w:rsidR="002933E9" w:rsidRPr="00FF4C0B">
        <w:t>-, a los Animales -1</w:t>
      </w:r>
      <w:r w:rsidR="00695FBF">
        <w:t>.</w:t>
      </w:r>
      <w:r w:rsidR="00AE19C2">
        <w:t>77</w:t>
      </w:r>
      <w:r w:rsidR="002933E9" w:rsidRPr="00FF4C0B">
        <w:t>-</w:t>
      </w:r>
      <w:r w:rsidR="00695FBF">
        <w:t>, a la Crítica -1.</w:t>
      </w:r>
      <w:r w:rsidR="00AE19C2">
        <w:t>16-</w:t>
      </w:r>
      <w:r w:rsidR="002933E9" w:rsidRPr="00FF4C0B">
        <w:t xml:space="preserve"> y </w:t>
      </w:r>
      <w:r w:rsidR="00AE19C2">
        <w:t xml:space="preserve">los </w:t>
      </w:r>
      <w:r w:rsidR="002933E9" w:rsidRPr="00FF4C0B">
        <w:t>Miedos Escolares -</w:t>
      </w:r>
      <w:r w:rsidR="00AE19C2">
        <w:t>1</w:t>
      </w:r>
      <w:r w:rsidR="00695FBF">
        <w:t>.</w:t>
      </w:r>
      <w:r w:rsidR="00AE19C2">
        <w:t>62</w:t>
      </w:r>
      <w:r w:rsidR="002933E9" w:rsidRPr="00FF4C0B">
        <w:t>-) excepto en l</w:t>
      </w:r>
      <w:r w:rsidR="00AE19C2">
        <w:t>os</w:t>
      </w:r>
      <w:r w:rsidR="002933E9" w:rsidRPr="00FF4C0B">
        <w:t xml:space="preserve"> Miedo</w:t>
      </w:r>
      <w:r w:rsidR="00AE19C2">
        <w:t>s</w:t>
      </w:r>
      <w:r w:rsidR="002933E9" w:rsidRPr="00FF4C0B">
        <w:t xml:space="preserve"> </w:t>
      </w:r>
      <w:r w:rsidR="00AE19C2">
        <w:t>Médicos, en los que aparecen los niveles más baj</w:t>
      </w:r>
      <w:r w:rsidR="00695FBF">
        <w:t>os (0.</w:t>
      </w:r>
      <w:r w:rsidR="00AE19C2">
        <w:t xml:space="preserve">32). </w:t>
      </w:r>
      <w:r w:rsidR="00AC23C6" w:rsidRPr="00AC23C6">
        <w:t xml:space="preserve">Finalmente, </w:t>
      </w:r>
      <w:r w:rsidR="00AC23C6">
        <w:t>e</w:t>
      </w:r>
      <w:r w:rsidR="00AC23C6" w:rsidRPr="00AC23C6">
        <w:t>l alto con los may</w:t>
      </w:r>
      <w:r w:rsidR="00695FBF">
        <w:t>ores porcentajes en bajo (11.</w:t>
      </w:r>
      <w:r w:rsidR="00AC23C6" w:rsidRPr="00AC23C6">
        <w:t xml:space="preserve">1%). </w:t>
      </w:r>
      <w:r w:rsidR="00047658">
        <w:t xml:space="preserve">Considerando el Rendimiento Global, </w:t>
      </w:r>
      <w:r w:rsidR="00AC23C6" w:rsidRPr="00AC23C6">
        <w:t>las más altas calificaciones se dan en</w:t>
      </w:r>
      <w:r w:rsidR="00695FBF">
        <w:t xml:space="preserve"> los sujetos de estatus alto (7.</w:t>
      </w:r>
      <w:r w:rsidR="00AC23C6" w:rsidRPr="00AC23C6">
        <w:t>27), en el que aparecen los porcentajes más altos de sobresalientes (32%)</w:t>
      </w:r>
      <w:r w:rsidR="00695FBF">
        <w:t xml:space="preserve"> y los segundos en notables (39.</w:t>
      </w:r>
      <w:r w:rsidR="00AC23C6" w:rsidRPr="00AC23C6">
        <w:t>2%). Posteriormente, estaría el estatus medio (6</w:t>
      </w:r>
      <w:r w:rsidR="00695FBF">
        <w:t>.</w:t>
      </w:r>
      <w:r w:rsidR="00AC23C6" w:rsidRPr="00AC23C6">
        <w:t>78), en el que aparecen los porcentajes más altos de notables (44%) y los segundos en sobresalientes (15</w:t>
      </w:r>
      <w:r w:rsidR="00695FBF">
        <w:t>.</w:t>
      </w:r>
      <w:r w:rsidR="00AC23C6" w:rsidRPr="00AC23C6">
        <w:t>2%). Por su parte el bajo (6</w:t>
      </w:r>
      <w:r w:rsidR="00695FBF">
        <w:t>.</w:t>
      </w:r>
      <w:r w:rsidR="00AC23C6" w:rsidRPr="00AC23C6">
        <w:t>11) supera al medio-bajo (5</w:t>
      </w:r>
      <w:r w:rsidR="00695FBF">
        <w:t>.</w:t>
      </w:r>
      <w:r w:rsidR="00AC23C6" w:rsidRPr="00AC23C6">
        <w:t>52) en p</w:t>
      </w:r>
      <w:r w:rsidR="00695FBF">
        <w:t>orcentaje de sobresalientes (11.7% frente al 5.</w:t>
      </w:r>
      <w:r w:rsidR="00AC23C6" w:rsidRPr="00AC23C6">
        <w:t>7% del medio-bajo), mientras que todo lo contrario ocurre c</w:t>
      </w:r>
      <w:r w:rsidR="00695FBF">
        <w:t>on respecto a los suspensos (38.9% el medio-bajo y 26.</w:t>
      </w:r>
      <w:r w:rsidR="00AC23C6" w:rsidRPr="00AC23C6">
        <w:t>1% el bajo.</w:t>
      </w:r>
      <w:r w:rsidR="00047658">
        <w:t xml:space="preserve"> </w:t>
      </w:r>
      <w:r w:rsidR="003013DF">
        <w:t xml:space="preserve">Las medias de </w:t>
      </w:r>
      <w:r w:rsidR="003013DF" w:rsidRPr="003013DF">
        <w:t xml:space="preserve">Rendimiento </w:t>
      </w:r>
      <w:r w:rsidR="00AC23C6">
        <w:t xml:space="preserve">en la Materia 1 </w:t>
      </w:r>
      <w:r w:rsidR="003013DF" w:rsidRPr="003013DF">
        <w:t>(</w:t>
      </w:r>
      <w:r w:rsidR="00AC23C6">
        <w:t>7</w:t>
      </w:r>
      <w:r w:rsidR="00695FBF">
        <w:t>.</w:t>
      </w:r>
      <w:r w:rsidR="003013DF" w:rsidRPr="003013DF">
        <w:t>3)</w:t>
      </w:r>
      <w:r w:rsidR="003013DF">
        <w:t>,</w:t>
      </w:r>
      <w:r w:rsidR="003013DF" w:rsidRPr="003013DF">
        <w:t xml:space="preserve"> </w:t>
      </w:r>
      <w:r w:rsidR="00AC23C6">
        <w:t>la Materia 2 (7</w:t>
      </w:r>
      <w:r w:rsidR="00695FBF">
        <w:t>.</w:t>
      </w:r>
      <w:r w:rsidR="00AC23C6">
        <w:t>11</w:t>
      </w:r>
      <w:r w:rsidR="003013DF">
        <w:t xml:space="preserve">), </w:t>
      </w:r>
      <w:r w:rsidR="00AC23C6" w:rsidRPr="00AC23C6">
        <w:t xml:space="preserve">la Materia </w:t>
      </w:r>
      <w:r w:rsidR="00AC23C6">
        <w:t>3</w:t>
      </w:r>
      <w:r w:rsidR="00695FBF">
        <w:t xml:space="preserve"> (7.</w:t>
      </w:r>
      <w:r w:rsidR="00AC23C6">
        <w:t>54</w:t>
      </w:r>
      <w:r w:rsidR="00AC23C6" w:rsidRPr="00AC23C6">
        <w:t xml:space="preserve">), la Materia </w:t>
      </w:r>
      <w:r w:rsidR="00AC23C6">
        <w:t>5</w:t>
      </w:r>
      <w:r w:rsidR="00AC23C6" w:rsidRPr="00AC23C6">
        <w:t xml:space="preserve"> (</w:t>
      </w:r>
      <w:r w:rsidR="00AB54AC">
        <w:t>7</w:t>
      </w:r>
      <w:r w:rsidR="00695FBF">
        <w:t>.</w:t>
      </w:r>
      <w:r w:rsidR="00AB54AC">
        <w:t>86</w:t>
      </w:r>
      <w:r w:rsidR="00AC23C6" w:rsidRPr="00AC23C6">
        <w:t>)</w:t>
      </w:r>
      <w:r w:rsidR="00695FBF">
        <w:t xml:space="preserve"> y la Materia 6 (7.</w:t>
      </w:r>
      <w:r w:rsidR="00AB54AC">
        <w:t xml:space="preserve">26) </w:t>
      </w:r>
      <w:r w:rsidR="003013DF">
        <w:t xml:space="preserve">son superiores en el grupo con estatus </w:t>
      </w:r>
      <w:r w:rsidR="00AB54AC">
        <w:t>a</w:t>
      </w:r>
      <w:r w:rsidR="003013DF">
        <w:t xml:space="preserve">lto. </w:t>
      </w:r>
      <w:r w:rsidR="00695FBF">
        <w:t xml:space="preserve">Todo esto </w:t>
      </w:r>
      <w:r w:rsidR="00AB54AC">
        <w:t xml:space="preserve">indica que </w:t>
      </w:r>
      <w:r w:rsidR="003013DF" w:rsidRPr="003013DF">
        <w:t>el nivel alto se asocia a un mayor rendimiento.</w:t>
      </w:r>
      <w:r w:rsidR="00047658">
        <w:t xml:space="preserve"> </w:t>
      </w:r>
    </w:p>
    <w:p w:rsidR="006866E6" w:rsidRPr="00BA1EBE" w:rsidRDefault="00CA4E6B" w:rsidP="00A72028">
      <w:pPr>
        <w:spacing w:line="360" w:lineRule="auto"/>
        <w:ind w:firstLine="708"/>
        <w:jc w:val="both"/>
      </w:pPr>
      <w:r>
        <w:t>E</w:t>
      </w:r>
      <w:r w:rsidR="007932D1" w:rsidRPr="00485F01">
        <w:t xml:space="preserve">l hecho de pertenecer a un determinado estatus influye </w:t>
      </w:r>
      <w:r w:rsidR="00EF6166" w:rsidRPr="00EF6166">
        <w:t>en el Miedo Total (</w:t>
      </w:r>
      <w:r w:rsidR="00695FBF">
        <w:rPr>
          <w:i/>
        </w:rPr>
        <w:t>p</w:t>
      </w:r>
      <w:r w:rsidR="00EF6166" w:rsidRPr="00EF6166">
        <w:t>=0</w:t>
      </w:r>
      <w:r w:rsidR="00695FBF">
        <w:t>.</w:t>
      </w:r>
      <w:r w:rsidR="00EF6166" w:rsidRPr="00EF6166">
        <w:t>000), el Miedo a lo Desconocido (</w:t>
      </w:r>
      <w:r w:rsidR="00695FBF">
        <w:rPr>
          <w:i/>
        </w:rPr>
        <w:t>p</w:t>
      </w:r>
      <w:r w:rsidR="00EF6166" w:rsidRPr="00EF6166">
        <w:t>=0</w:t>
      </w:r>
      <w:r w:rsidR="00695FBF">
        <w:t>.</w:t>
      </w:r>
      <w:r w:rsidR="00EF6166" w:rsidRPr="00EF6166">
        <w:t>000), el Miedo a la Muerte (</w:t>
      </w:r>
      <w:r w:rsidR="00695FBF">
        <w:rPr>
          <w:i/>
        </w:rPr>
        <w:t>p</w:t>
      </w:r>
      <w:r w:rsidR="00EF6166" w:rsidRPr="00EF6166">
        <w:t>=0</w:t>
      </w:r>
      <w:r w:rsidR="00695FBF">
        <w:t>.</w:t>
      </w:r>
      <w:r w:rsidR="00EF6166" w:rsidRPr="00EF6166">
        <w:t>000), el Miedo a los Animales (</w:t>
      </w:r>
      <w:r w:rsidR="00695FBF">
        <w:rPr>
          <w:i/>
        </w:rPr>
        <w:t>p</w:t>
      </w:r>
      <w:r w:rsidR="00EF6166" w:rsidRPr="00EF6166">
        <w:t>=0</w:t>
      </w:r>
      <w:r w:rsidR="00695FBF">
        <w:t>.</w:t>
      </w:r>
      <w:r w:rsidR="00EF6166" w:rsidRPr="00EF6166">
        <w:t>000), l</w:t>
      </w:r>
      <w:r w:rsidR="00EF6166">
        <w:t>os Miedos Escolares (</w:t>
      </w:r>
      <w:r w:rsidR="00695FBF">
        <w:rPr>
          <w:i/>
        </w:rPr>
        <w:t>p</w:t>
      </w:r>
      <w:r w:rsidR="00EF6166">
        <w:t>=0</w:t>
      </w:r>
      <w:r w:rsidR="00695FBF">
        <w:t>.</w:t>
      </w:r>
      <w:r w:rsidR="00EF6166">
        <w:t>000) y los</w:t>
      </w:r>
      <w:r w:rsidR="00EF6166" w:rsidRPr="00EF6166">
        <w:t xml:space="preserve"> Miedos Médicos (</w:t>
      </w:r>
      <w:r w:rsidR="00695FBF">
        <w:rPr>
          <w:i/>
        </w:rPr>
        <w:t>p</w:t>
      </w:r>
      <w:r w:rsidR="00EF6166" w:rsidRPr="00EF6166">
        <w:t>=0</w:t>
      </w:r>
      <w:r w:rsidR="00695FBF">
        <w:t>.</w:t>
      </w:r>
      <w:r w:rsidR="00EF6166" w:rsidRPr="00EF6166">
        <w:t>008)</w:t>
      </w:r>
      <w:r w:rsidR="00EF6166">
        <w:t xml:space="preserve">. </w:t>
      </w:r>
      <w:r w:rsidR="00EF6166" w:rsidRPr="00754B3D">
        <w:t xml:space="preserve">Sin embargo, las diferencias </w:t>
      </w:r>
      <w:r w:rsidR="00EF6166">
        <w:t xml:space="preserve">estadísticamente significativas encontradas </w:t>
      </w:r>
      <w:r w:rsidR="00EF6166" w:rsidRPr="00754B3D">
        <w:t>no siguen una distribución lógica.</w:t>
      </w:r>
      <w:r w:rsidR="00EF6166">
        <w:t xml:space="preserve"> </w:t>
      </w:r>
      <w:r w:rsidR="007932D1" w:rsidRPr="00485F01">
        <w:t xml:space="preserve">No se obtuvieron en el </w:t>
      </w:r>
      <w:r w:rsidR="00EF6166" w:rsidRPr="00EF6166">
        <w:t>Miedo a la Crítica (</w:t>
      </w:r>
      <w:r w:rsidR="00695FBF">
        <w:rPr>
          <w:i/>
        </w:rPr>
        <w:t>p</w:t>
      </w:r>
      <w:r w:rsidR="00EF6166" w:rsidRPr="00EF6166">
        <w:t>=0</w:t>
      </w:r>
      <w:r w:rsidR="00695FBF">
        <w:t>.</w:t>
      </w:r>
      <w:r w:rsidR="00EF6166" w:rsidRPr="00EF6166">
        <w:t>206)</w:t>
      </w:r>
      <w:r w:rsidR="00EF6166" w:rsidRPr="00485F01">
        <w:t xml:space="preserve">. </w:t>
      </w:r>
      <w:r w:rsidR="009E6C33">
        <w:t xml:space="preserve">A </w:t>
      </w:r>
      <w:r w:rsidR="00047658">
        <w:t xml:space="preserve">nivel de </w:t>
      </w:r>
      <w:r w:rsidR="009E6C33">
        <w:t>R</w:t>
      </w:r>
      <w:r w:rsidR="00047658">
        <w:t xml:space="preserve">endimiento, </w:t>
      </w:r>
      <w:r w:rsidR="009E6C33">
        <w:t xml:space="preserve">las </w:t>
      </w:r>
      <w:r w:rsidR="004D60A8">
        <w:t xml:space="preserve">diferencias son estadísticamente significativas en </w:t>
      </w:r>
      <w:r w:rsidR="004D60A8" w:rsidRPr="004D60A8">
        <w:t>Media de Rendimiento Total (</w:t>
      </w:r>
      <w:r w:rsidR="00695FBF">
        <w:rPr>
          <w:i/>
        </w:rPr>
        <w:t>p</w:t>
      </w:r>
      <w:r w:rsidR="004D60A8" w:rsidRPr="004D60A8">
        <w:t>=0</w:t>
      </w:r>
      <w:r w:rsidR="00695FBF">
        <w:t>.</w:t>
      </w:r>
      <w:r w:rsidR="004D60A8" w:rsidRPr="004D60A8">
        <w:t>000), el Rendimiento en la Materia 1 (</w:t>
      </w:r>
      <w:r w:rsidR="00695FBF">
        <w:rPr>
          <w:i/>
        </w:rPr>
        <w:t>p</w:t>
      </w:r>
      <w:r w:rsidR="00695FBF">
        <w:t>=0.</w:t>
      </w:r>
      <w:r w:rsidR="004D60A8" w:rsidRPr="004D60A8">
        <w:t>000), el Rendimiento en la Materia 2 (</w:t>
      </w:r>
      <w:r w:rsidR="00695FBF">
        <w:rPr>
          <w:i/>
        </w:rPr>
        <w:t>p</w:t>
      </w:r>
      <w:r w:rsidR="00695FBF">
        <w:t>=0.</w:t>
      </w:r>
      <w:r w:rsidR="004D60A8" w:rsidRPr="004D60A8">
        <w:t>000), el Rendimiento en la Materia 3 (</w:t>
      </w:r>
      <w:r w:rsidR="00695FBF">
        <w:rPr>
          <w:i/>
        </w:rPr>
        <w:t>p</w:t>
      </w:r>
      <w:r w:rsidR="00695FBF">
        <w:t>=0.</w:t>
      </w:r>
      <w:r w:rsidR="004D60A8" w:rsidRPr="004D60A8">
        <w:t>000), el Rendimiento en la Materia 4 (</w:t>
      </w:r>
      <w:r w:rsidR="00695FBF">
        <w:rPr>
          <w:i/>
        </w:rPr>
        <w:t>p</w:t>
      </w:r>
      <w:r w:rsidR="00695FBF">
        <w:t>=0.</w:t>
      </w:r>
      <w:r w:rsidR="004D60A8" w:rsidRPr="004D60A8">
        <w:t>000), el Rendimiento en la Materia 5 (</w:t>
      </w:r>
      <w:r w:rsidR="00695FBF">
        <w:rPr>
          <w:i/>
        </w:rPr>
        <w:t>p</w:t>
      </w:r>
      <w:r w:rsidR="00695FBF">
        <w:t>=0.</w:t>
      </w:r>
      <w:r w:rsidR="004D60A8" w:rsidRPr="004D60A8">
        <w:t>000) y el Rendimiento en la Materia 6 (</w:t>
      </w:r>
      <w:r w:rsidR="00695FBF">
        <w:rPr>
          <w:i/>
        </w:rPr>
        <w:t>p</w:t>
      </w:r>
      <w:r w:rsidR="00695FBF">
        <w:t>=0.</w:t>
      </w:r>
      <w:r w:rsidR="004D60A8" w:rsidRPr="004D60A8">
        <w:t xml:space="preserve">000). </w:t>
      </w:r>
      <w:r w:rsidR="004D60A8">
        <w:t>S</w:t>
      </w:r>
      <w:r w:rsidR="004D60A8" w:rsidRPr="004D60A8">
        <w:t xml:space="preserve">e comprueba que, a menor estatus, menores </w:t>
      </w:r>
      <w:r w:rsidR="004D60A8" w:rsidRPr="004D60A8">
        <w:lastRenderedPageBreak/>
        <w:t>son también las calificaciones (si se consideran las pruebas post hoc realizadas).</w:t>
      </w:r>
      <w:r w:rsidR="00C05055">
        <w:t xml:space="preserve"> </w:t>
      </w:r>
      <w:r w:rsidR="004D60A8">
        <w:t>Todos e</w:t>
      </w:r>
      <w:r w:rsidR="00C05055">
        <w:t>stos datos</w:t>
      </w:r>
      <w:r w:rsidR="00BA1EBE">
        <w:t xml:space="preserve"> quedan resumidos en la tabla 4.</w:t>
      </w:r>
    </w:p>
    <w:p w:rsidR="00695FBF" w:rsidRDefault="00695FBF" w:rsidP="00A72028">
      <w:pPr>
        <w:autoSpaceDE w:val="0"/>
        <w:autoSpaceDN w:val="0"/>
        <w:adjustRightInd w:val="0"/>
        <w:spacing w:line="360" w:lineRule="auto"/>
        <w:jc w:val="center"/>
        <w:rPr>
          <w:b/>
          <w:sz w:val="20"/>
          <w:szCs w:val="20"/>
        </w:rPr>
      </w:pPr>
    </w:p>
    <w:p w:rsidR="004D60A8" w:rsidRDefault="004D60A8" w:rsidP="00A72028">
      <w:pPr>
        <w:autoSpaceDE w:val="0"/>
        <w:autoSpaceDN w:val="0"/>
        <w:adjustRightInd w:val="0"/>
        <w:spacing w:line="360" w:lineRule="auto"/>
        <w:jc w:val="center"/>
        <w:rPr>
          <w:b/>
          <w:sz w:val="20"/>
          <w:szCs w:val="20"/>
        </w:rPr>
      </w:pPr>
      <w:r>
        <w:rPr>
          <w:b/>
          <w:sz w:val="20"/>
          <w:szCs w:val="20"/>
        </w:rPr>
        <w:t xml:space="preserve">Tabla 4. </w:t>
      </w:r>
      <w:r w:rsidR="00695FBF">
        <w:rPr>
          <w:b/>
          <w:sz w:val="20"/>
          <w:szCs w:val="20"/>
        </w:rPr>
        <w:t>Miedo,</w:t>
      </w:r>
      <w:r>
        <w:rPr>
          <w:b/>
          <w:sz w:val="20"/>
          <w:szCs w:val="20"/>
        </w:rPr>
        <w:t xml:space="preserve"> Rendimiento Académico y Factores en función del estatus</w:t>
      </w:r>
    </w:p>
    <w:p w:rsidR="00BA1EBE" w:rsidRDefault="00AF0E98" w:rsidP="00A72028">
      <w:pPr>
        <w:spacing w:line="360" w:lineRule="auto"/>
        <w:rPr>
          <w:b/>
        </w:rPr>
      </w:pPr>
      <w:r>
        <w:rPr>
          <w:b/>
          <w:noProof/>
        </w:rPr>
        <w:drawing>
          <wp:inline distT="0" distB="0" distL="0" distR="0">
            <wp:extent cx="6058627" cy="337185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60222" cy="3372738"/>
                    </a:xfrm>
                    <a:prstGeom prst="rect">
                      <a:avLst/>
                    </a:prstGeom>
                    <a:noFill/>
                    <a:ln>
                      <a:noFill/>
                    </a:ln>
                  </pic:spPr>
                </pic:pic>
              </a:graphicData>
            </a:graphic>
          </wp:inline>
        </w:drawing>
      </w:r>
    </w:p>
    <w:p w:rsidR="00633F77" w:rsidRDefault="00633F77" w:rsidP="00A72028">
      <w:pPr>
        <w:tabs>
          <w:tab w:val="center" w:pos="4252"/>
        </w:tabs>
        <w:spacing w:line="360" w:lineRule="auto"/>
        <w:rPr>
          <w:b/>
        </w:rPr>
      </w:pPr>
    </w:p>
    <w:p w:rsidR="00D86CBA" w:rsidRPr="00C5144F" w:rsidRDefault="00D86CBA" w:rsidP="00A72028">
      <w:pPr>
        <w:tabs>
          <w:tab w:val="center" w:pos="4252"/>
        </w:tabs>
        <w:spacing w:line="360" w:lineRule="auto"/>
        <w:rPr>
          <w:b/>
        </w:rPr>
      </w:pPr>
      <w:r w:rsidRPr="00C5144F">
        <w:rPr>
          <w:b/>
        </w:rPr>
        <w:t>Miedo y Rendimiento</w:t>
      </w:r>
      <w:r>
        <w:rPr>
          <w:b/>
        </w:rPr>
        <w:tab/>
      </w:r>
    </w:p>
    <w:p w:rsidR="000F33AA" w:rsidRPr="000F33AA" w:rsidRDefault="00D86CBA" w:rsidP="007711F2">
      <w:pPr>
        <w:autoSpaceDE w:val="0"/>
        <w:autoSpaceDN w:val="0"/>
        <w:adjustRightInd w:val="0"/>
        <w:spacing w:line="360" w:lineRule="auto"/>
        <w:ind w:firstLine="708"/>
        <w:jc w:val="both"/>
      </w:pPr>
      <w:r>
        <w:t>L</w:t>
      </w:r>
      <w:r w:rsidRPr="00D86CBA">
        <w:t>as calificaciones más altas se dan entre el alumnado con niveles bajos y muy bajos de miedo. Así, se puede observar que el grupo que tiene peores resultados es el que, refleja los niveles más altos de mie</w:t>
      </w:r>
      <w:r w:rsidR="007711F2">
        <w:t>do (mucho tiene una media de  5.</w:t>
      </w:r>
      <w:r w:rsidRPr="00D86CBA">
        <w:t>7) con los porce</w:t>
      </w:r>
      <w:r w:rsidR="007711F2">
        <w:t>ntajes mayores en suspensos (34.</w:t>
      </w:r>
      <w:r w:rsidRPr="00D86CBA">
        <w:t>5%). Después, con las notas más bajas (si no se considera el anterior) aparece el grupo con bastante miedo (</w:t>
      </w:r>
      <w:r w:rsidR="007711F2">
        <w:t>6.</w:t>
      </w:r>
      <w:r w:rsidRPr="00D86CBA">
        <w:t>16 de media) con los segundos porcent</w:t>
      </w:r>
      <w:r w:rsidR="007711F2">
        <w:t>ajes más altos en suspensos (24.</w:t>
      </w:r>
      <w:r w:rsidRPr="00D86CBA">
        <w:t>9%), seguido p</w:t>
      </w:r>
      <w:r w:rsidR="007711F2">
        <w:t>or los que reflejan muy poco (6.</w:t>
      </w:r>
      <w:r w:rsidRPr="00D86CBA">
        <w:t>42), donde aparecen los segun</w:t>
      </w:r>
      <w:r w:rsidR="007711F2">
        <w:t>dos porcentajes en notables (36.3%) y sobresalientes (13.</w:t>
      </w:r>
      <w:r w:rsidRPr="00D86CBA">
        <w:t>5%). Con las calificaciones más altas, aparece el grupo que manif</w:t>
      </w:r>
      <w:r w:rsidR="007711F2">
        <w:t>iesta niveles bajos de miedo (6.</w:t>
      </w:r>
      <w:r w:rsidRPr="00D86CBA">
        <w:t>44, una media prácticamente idéntica al anterior), que también presenta el mayor p</w:t>
      </w:r>
      <w:r w:rsidR="007711F2">
        <w:t>orcentaje de sobresalientes (14.</w:t>
      </w:r>
      <w:r w:rsidRPr="00D86CBA">
        <w:t xml:space="preserve">5%). </w:t>
      </w:r>
      <w:r>
        <w:t>En</w:t>
      </w:r>
      <w:r w:rsidRPr="00C5144F">
        <w:t xml:space="preserve"> todos los casos el grupo que refleja niveles m</w:t>
      </w:r>
      <w:r>
        <w:t>ayores</w:t>
      </w:r>
      <w:r w:rsidRPr="00C5144F">
        <w:t xml:space="preserve"> de Miedo es el que alcanza la media más </w:t>
      </w:r>
      <w:r w:rsidR="000F33AA">
        <w:t>baja</w:t>
      </w:r>
      <w:r w:rsidRPr="00C5144F">
        <w:t>, tanto a nivel general</w:t>
      </w:r>
      <w:r w:rsidR="000F33AA">
        <w:t>,</w:t>
      </w:r>
      <w:r w:rsidRPr="00C5144F">
        <w:t xml:space="preserve"> como en cada una de las diferentes materias (</w:t>
      </w:r>
      <w:r w:rsidR="007711F2">
        <w:t>la Materia 1 -5.</w:t>
      </w:r>
      <w:r w:rsidR="000F33AA">
        <w:t xml:space="preserve">46-, </w:t>
      </w:r>
      <w:r w:rsidR="000F33AA" w:rsidRPr="000F33AA">
        <w:t xml:space="preserve">la Materia </w:t>
      </w:r>
      <w:r w:rsidR="000F33AA">
        <w:t>2</w:t>
      </w:r>
      <w:r w:rsidR="000F33AA" w:rsidRPr="000F33AA">
        <w:t xml:space="preserve"> -</w:t>
      </w:r>
      <w:r w:rsidR="007711F2">
        <w:t>5.</w:t>
      </w:r>
      <w:r w:rsidR="000F33AA">
        <w:t>22</w:t>
      </w:r>
      <w:r w:rsidR="000F33AA" w:rsidRPr="000F33AA">
        <w:t>-,</w:t>
      </w:r>
      <w:r w:rsidR="000F33AA">
        <w:t xml:space="preserve"> </w:t>
      </w:r>
      <w:r w:rsidR="000F33AA" w:rsidRPr="000F33AA">
        <w:t xml:space="preserve">la Materia </w:t>
      </w:r>
      <w:r w:rsidR="000F33AA">
        <w:t>3</w:t>
      </w:r>
      <w:r w:rsidR="000F33AA" w:rsidRPr="000F33AA">
        <w:t xml:space="preserve"> -</w:t>
      </w:r>
      <w:r w:rsidR="007711F2">
        <w:t>5.</w:t>
      </w:r>
      <w:r w:rsidR="000F33AA">
        <w:t>93</w:t>
      </w:r>
      <w:r w:rsidR="000F33AA" w:rsidRPr="000F33AA">
        <w:t>-,</w:t>
      </w:r>
      <w:r w:rsidR="000F33AA">
        <w:t xml:space="preserve"> </w:t>
      </w:r>
      <w:r w:rsidR="000F33AA" w:rsidRPr="000F33AA">
        <w:t xml:space="preserve">la Materia </w:t>
      </w:r>
      <w:r w:rsidR="000F33AA">
        <w:t>4</w:t>
      </w:r>
      <w:r w:rsidR="000F33AA" w:rsidRPr="000F33AA">
        <w:t xml:space="preserve"> -</w:t>
      </w:r>
      <w:r w:rsidR="007711F2">
        <w:t>5.</w:t>
      </w:r>
      <w:r w:rsidR="000F33AA">
        <w:t>31</w:t>
      </w:r>
      <w:r w:rsidR="000F33AA" w:rsidRPr="000F33AA">
        <w:t>-,</w:t>
      </w:r>
      <w:r w:rsidR="000F33AA">
        <w:t xml:space="preserve"> la Materia 5</w:t>
      </w:r>
      <w:r w:rsidR="000F33AA" w:rsidRPr="000F33AA">
        <w:t xml:space="preserve"> -</w:t>
      </w:r>
      <w:r w:rsidR="007711F2">
        <w:t>6.74- y la Materia 6 -4.</w:t>
      </w:r>
      <w:r w:rsidR="000F33AA">
        <w:t>25-).</w:t>
      </w:r>
      <w:r w:rsidR="007711F2">
        <w:t xml:space="preserve"> </w:t>
      </w:r>
      <w:r>
        <w:t xml:space="preserve">Teniendo en cuenta </w:t>
      </w:r>
      <w:r w:rsidRPr="004F2328">
        <w:t>la estadística inferencial</w:t>
      </w:r>
      <w:r>
        <w:t xml:space="preserve"> (tabl</w:t>
      </w:r>
      <w:r w:rsidR="007711F2">
        <w:t>a 5</w:t>
      </w:r>
      <w:r>
        <w:t>)</w:t>
      </w:r>
      <w:r w:rsidRPr="004F2328">
        <w:t xml:space="preserve">, </w:t>
      </w:r>
      <w:r>
        <w:t xml:space="preserve">se </w:t>
      </w:r>
      <w:r w:rsidRPr="004F2328">
        <w:t xml:space="preserve">llega a la conclusión de que, el Miedo influye </w:t>
      </w:r>
      <w:r w:rsidR="000F33AA" w:rsidRPr="000F33AA">
        <w:t>la Media de Rendimiento Total (</w:t>
      </w:r>
      <w:r w:rsidR="007711F2">
        <w:rPr>
          <w:i/>
        </w:rPr>
        <w:t>p</w:t>
      </w:r>
      <w:r w:rsidR="007711F2">
        <w:t>=0.</w:t>
      </w:r>
      <w:r w:rsidR="000F33AA" w:rsidRPr="000F33AA">
        <w:t xml:space="preserve">004), el </w:t>
      </w:r>
      <w:r w:rsidR="000F33AA" w:rsidRPr="000F33AA">
        <w:lastRenderedPageBreak/>
        <w:t>Rendimiento en la Materia 1 (</w:t>
      </w:r>
      <w:r w:rsidR="007711F2">
        <w:rPr>
          <w:i/>
        </w:rPr>
        <w:t>p</w:t>
      </w:r>
      <w:r w:rsidR="007711F2">
        <w:t>=0.</w:t>
      </w:r>
      <w:r w:rsidR="000F33AA" w:rsidRPr="000F33AA">
        <w:t>035), el Rendimiento en la Materia 2 (</w:t>
      </w:r>
      <w:r w:rsidR="007711F2">
        <w:rPr>
          <w:i/>
        </w:rPr>
        <w:t>p</w:t>
      </w:r>
      <w:r w:rsidR="007711F2">
        <w:t>=0.</w:t>
      </w:r>
      <w:r w:rsidR="000F33AA" w:rsidRPr="000F33AA">
        <w:t>002), el Rendimiento en la Materia 3 (</w:t>
      </w:r>
      <w:r w:rsidR="007711F2">
        <w:rPr>
          <w:i/>
        </w:rPr>
        <w:t>p</w:t>
      </w:r>
      <w:r w:rsidR="007711F2">
        <w:t>=0.</w:t>
      </w:r>
      <w:r w:rsidR="000F33AA" w:rsidRPr="000F33AA">
        <w:t>007), el Rendimiento en la Materia 4 (</w:t>
      </w:r>
      <w:r w:rsidR="007711F2">
        <w:rPr>
          <w:i/>
        </w:rPr>
        <w:t>p</w:t>
      </w:r>
      <w:r w:rsidR="007711F2">
        <w:t>=0.</w:t>
      </w:r>
      <w:r w:rsidR="000F33AA" w:rsidRPr="000F33AA">
        <w:t>004) y el Rendimiento en la Materia 6 (</w:t>
      </w:r>
      <w:r w:rsidR="007711F2">
        <w:rPr>
          <w:i/>
        </w:rPr>
        <w:t>p</w:t>
      </w:r>
      <w:r w:rsidR="007711F2">
        <w:t>=0.</w:t>
      </w:r>
      <w:r w:rsidR="000F33AA" w:rsidRPr="000F33AA">
        <w:t xml:space="preserve">002). </w:t>
      </w:r>
      <w:r w:rsidR="000F33AA">
        <w:t xml:space="preserve">No se obtuvieron diferencias significativas </w:t>
      </w:r>
      <w:r w:rsidR="000F33AA" w:rsidRPr="000F33AA">
        <w:t>en el Rendimiento en la Materia 5 (</w:t>
      </w:r>
      <w:r w:rsidR="007711F2">
        <w:rPr>
          <w:i/>
        </w:rPr>
        <w:t>p</w:t>
      </w:r>
      <w:r w:rsidR="007711F2">
        <w:t>=0.</w:t>
      </w:r>
      <w:r w:rsidR="000F33AA" w:rsidRPr="000F33AA">
        <w:t>069).</w:t>
      </w:r>
      <w:r w:rsidR="000F33AA">
        <w:t xml:space="preserve"> </w:t>
      </w:r>
      <w:r w:rsidR="000F33AA" w:rsidRPr="000F33AA">
        <w:t xml:space="preserve">A menor nivel de miedo mayor </w:t>
      </w:r>
      <w:r w:rsidR="000F33AA">
        <w:t xml:space="preserve">es el </w:t>
      </w:r>
      <w:r w:rsidR="000F33AA" w:rsidRPr="000F33AA">
        <w:t>rendimiento</w:t>
      </w:r>
      <w:r w:rsidR="000F33AA">
        <w:t>, por lo que se puede</w:t>
      </w:r>
      <w:r w:rsidR="000F33AA" w:rsidRPr="000F33AA">
        <w:t xml:space="preserve"> decir que el miedo influye </w:t>
      </w:r>
      <w:r w:rsidR="000F33AA">
        <w:t xml:space="preserve">negativamente </w:t>
      </w:r>
      <w:r w:rsidR="000F33AA" w:rsidRPr="000F33AA">
        <w:t>en el rendimiento.</w:t>
      </w:r>
      <w:r w:rsidR="000F33AA">
        <w:t xml:space="preserve"> Esta realidad se entiende de manera sencilla, si se considera que las emociones negativas pueden dificultar algunos procesos cognitivos, dentro de los cuales puede encontrarse el aprendizaje.</w:t>
      </w:r>
    </w:p>
    <w:p w:rsidR="00D86CBA" w:rsidRPr="00BA1EBE" w:rsidRDefault="00D86CBA" w:rsidP="00A72028">
      <w:pPr>
        <w:autoSpaceDE w:val="0"/>
        <w:autoSpaceDN w:val="0"/>
        <w:adjustRightInd w:val="0"/>
        <w:spacing w:line="360" w:lineRule="auto"/>
        <w:ind w:firstLine="708"/>
        <w:jc w:val="both"/>
      </w:pPr>
    </w:p>
    <w:p w:rsidR="00D86CBA" w:rsidRDefault="00D86CBA" w:rsidP="00A72028">
      <w:pPr>
        <w:autoSpaceDE w:val="0"/>
        <w:autoSpaceDN w:val="0"/>
        <w:adjustRightInd w:val="0"/>
        <w:spacing w:line="360" w:lineRule="auto"/>
        <w:ind w:firstLine="708"/>
        <w:jc w:val="center"/>
      </w:pPr>
      <w:r>
        <w:rPr>
          <w:b/>
          <w:sz w:val="20"/>
          <w:szCs w:val="20"/>
        </w:rPr>
        <w:t xml:space="preserve">Tabla </w:t>
      </w:r>
      <w:r w:rsidR="007711F2">
        <w:rPr>
          <w:b/>
          <w:sz w:val="20"/>
          <w:szCs w:val="20"/>
        </w:rPr>
        <w:t>5</w:t>
      </w:r>
      <w:r w:rsidRPr="00376902">
        <w:rPr>
          <w:b/>
          <w:sz w:val="20"/>
          <w:szCs w:val="20"/>
        </w:rPr>
        <w:t xml:space="preserve">. </w:t>
      </w:r>
      <w:r>
        <w:rPr>
          <w:b/>
          <w:sz w:val="20"/>
          <w:szCs w:val="20"/>
        </w:rPr>
        <w:t>Rendimiento Académico</w:t>
      </w:r>
      <w:r w:rsidRPr="00376902">
        <w:rPr>
          <w:b/>
          <w:sz w:val="20"/>
          <w:szCs w:val="20"/>
        </w:rPr>
        <w:t xml:space="preserve"> </w:t>
      </w:r>
      <w:r>
        <w:rPr>
          <w:b/>
          <w:sz w:val="20"/>
          <w:szCs w:val="20"/>
        </w:rPr>
        <w:t>y Facto</w:t>
      </w:r>
      <w:r w:rsidRPr="00376902">
        <w:rPr>
          <w:b/>
          <w:sz w:val="20"/>
          <w:szCs w:val="20"/>
        </w:rPr>
        <w:t xml:space="preserve">res en función del </w:t>
      </w:r>
      <w:r>
        <w:rPr>
          <w:b/>
          <w:sz w:val="20"/>
          <w:szCs w:val="20"/>
        </w:rPr>
        <w:t>Miedo Total</w:t>
      </w:r>
      <w:r>
        <w:t xml:space="preserve">  </w:t>
      </w:r>
    </w:p>
    <w:p w:rsidR="000F33AA" w:rsidRPr="004F2328" w:rsidRDefault="000F33AA" w:rsidP="00A72028">
      <w:pPr>
        <w:autoSpaceDE w:val="0"/>
        <w:autoSpaceDN w:val="0"/>
        <w:adjustRightInd w:val="0"/>
        <w:spacing w:line="360" w:lineRule="auto"/>
        <w:ind w:firstLine="708"/>
        <w:jc w:val="center"/>
      </w:pPr>
      <w:r>
        <w:rPr>
          <w:noProof/>
        </w:rPr>
        <w:drawing>
          <wp:inline distT="0" distB="0" distL="0" distR="0" wp14:anchorId="6A62D57E" wp14:editId="6CA536C3">
            <wp:extent cx="4495800" cy="50101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5800" cy="5010150"/>
                    </a:xfrm>
                    <a:prstGeom prst="rect">
                      <a:avLst/>
                    </a:prstGeom>
                    <a:noFill/>
                    <a:ln>
                      <a:noFill/>
                    </a:ln>
                  </pic:spPr>
                </pic:pic>
              </a:graphicData>
            </a:graphic>
          </wp:inline>
        </w:drawing>
      </w:r>
    </w:p>
    <w:p w:rsidR="003E407F" w:rsidRDefault="003E407F" w:rsidP="00A72028">
      <w:pPr>
        <w:autoSpaceDE w:val="0"/>
        <w:autoSpaceDN w:val="0"/>
        <w:adjustRightInd w:val="0"/>
        <w:spacing w:line="360" w:lineRule="auto"/>
        <w:ind w:firstLine="708"/>
        <w:jc w:val="both"/>
      </w:pPr>
    </w:p>
    <w:p w:rsidR="003E407F" w:rsidRDefault="003E407F" w:rsidP="00A72028">
      <w:pPr>
        <w:autoSpaceDE w:val="0"/>
        <w:autoSpaceDN w:val="0"/>
        <w:adjustRightInd w:val="0"/>
        <w:spacing w:line="360" w:lineRule="auto"/>
        <w:ind w:firstLine="708"/>
        <w:jc w:val="both"/>
      </w:pPr>
    </w:p>
    <w:p w:rsidR="003E407F" w:rsidRDefault="003E407F" w:rsidP="00A72028">
      <w:pPr>
        <w:autoSpaceDE w:val="0"/>
        <w:autoSpaceDN w:val="0"/>
        <w:adjustRightInd w:val="0"/>
        <w:spacing w:line="360" w:lineRule="auto"/>
        <w:ind w:firstLine="708"/>
        <w:jc w:val="both"/>
      </w:pPr>
    </w:p>
    <w:p w:rsidR="0089682E" w:rsidRDefault="0089682E" w:rsidP="00A72028">
      <w:pPr>
        <w:autoSpaceDE w:val="0"/>
        <w:autoSpaceDN w:val="0"/>
        <w:adjustRightInd w:val="0"/>
        <w:spacing w:line="360" w:lineRule="auto"/>
        <w:ind w:firstLine="708"/>
        <w:jc w:val="both"/>
      </w:pPr>
      <w:r>
        <w:lastRenderedPageBreak/>
        <w:t>Si finalmente se toman los resulta</w:t>
      </w:r>
      <w:r w:rsidR="00797D3E">
        <w:t xml:space="preserve">dos </w:t>
      </w:r>
      <w:r w:rsidR="003E407F">
        <w:t xml:space="preserve">de la regresión realizada, </w:t>
      </w:r>
      <w:r w:rsidR="00797D3E">
        <w:t xml:space="preserve">que se resumen en la tabla </w:t>
      </w:r>
      <w:r w:rsidR="001E3D21">
        <w:t>6</w:t>
      </w:r>
      <w:r>
        <w:t xml:space="preserve">, se puede confirmar que el Rendimiento está bajo la influencia </w:t>
      </w:r>
      <w:r w:rsidR="003E407F">
        <w:t xml:space="preserve">de </w:t>
      </w:r>
      <w:r w:rsidR="00E710DA">
        <w:t>las</w:t>
      </w:r>
      <w:r>
        <w:t xml:space="preserve"> var</w:t>
      </w:r>
      <w:r w:rsidR="00E710DA">
        <w:t xml:space="preserve">iables sociodemográficas </w:t>
      </w:r>
      <w:r w:rsidR="003E407F">
        <w:t>edad (</w:t>
      </w:r>
      <w:r w:rsidR="00E710DA">
        <w:t>etapa</w:t>
      </w:r>
      <w:r w:rsidR="003E407F">
        <w:t>)</w:t>
      </w:r>
      <w:r w:rsidR="00E710DA">
        <w:t xml:space="preserve">, </w:t>
      </w:r>
      <w:r w:rsidR="003E407F">
        <w:t xml:space="preserve">estatus socioeconómico y </w:t>
      </w:r>
      <w:r>
        <w:t>cultura/religión</w:t>
      </w:r>
      <w:r w:rsidR="003E407F">
        <w:t xml:space="preserve">, además del Miedo Total. </w:t>
      </w:r>
      <w:r>
        <w:t xml:space="preserve"> El conjunto de ellas dan cuenta del </w:t>
      </w:r>
      <w:r w:rsidR="003F17C7">
        <w:t>31</w:t>
      </w:r>
      <w:r>
        <w:t>% de la varianza en el Rendimiento (R</w:t>
      </w:r>
      <w:r w:rsidRPr="0073045C">
        <w:rPr>
          <w:vertAlign w:val="superscript"/>
        </w:rPr>
        <w:t>2</w:t>
      </w:r>
      <w:r>
        <w:t>= 0</w:t>
      </w:r>
      <w:r w:rsidR="003F17C7">
        <w:t>.310</w:t>
      </w:r>
      <w:r w:rsidR="00797D3E">
        <w:t>)</w:t>
      </w:r>
      <w:r>
        <w:t xml:space="preserve">. </w:t>
      </w:r>
      <w:r w:rsidR="00696E44">
        <w:t xml:space="preserve">Se observa </w:t>
      </w:r>
      <w:r>
        <w:t xml:space="preserve">una relación </w:t>
      </w:r>
      <w:r w:rsidR="003F17C7">
        <w:t>inversamente entre el Rendi</w:t>
      </w:r>
      <w:r>
        <w:t xml:space="preserve">miento y </w:t>
      </w:r>
      <w:r w:rsidR="00805343">
        <w:t>el Miedo</w:t>
      </w:r>
      <w:r>
        <w:t xml:space="preserve">. Por su parte, la edad resulta </w:t>
      </w:r>
      <w:r w:rsidR="00805343">
        <w:t>directamente</w:t>
      </w:r>
      <w:r>
        <w:t xml:space="preserve"> proporcional (m</w:t>
      </w:r>
      <w:r w:rsidR="00805343">
        <w:t>ayor</w:t>
      </w:r>
      <w:r>
        <w:t xml:space="preserve"> cuanto más edad presenta el sujeto), al igual que </w:t>
      </w:r>
      <w:r w:rsidR="00CD6090">
        <w:t>el estatus. L</w:t>
      </w:r>
      <w:r>
        <w:t xml:space="preserve">a cultura musulmana tiene resultados significativamente inferiores </w:t>
      </w:r>
      <w:r w:rsidR="003F17C7">
        <w:t>(debido a que se asoció el valor 1 con los cristianos y el 2 con los musulmanes)</w:t>
      </w:r>
      <w:r>
        <w:t>. El resto de variables</w:t>
      </w:r>
      <w:r w:rsidR="00CD6090">
        <w:t xml:space="preserve"> </w:t>
      </w:r>
      <w:r w:rsidR="003F17C7">
        <w:t xml:space="preserve">(género) </w:t>
      </w:r>
      <w:r>
        <w:t xml:space="preserve">quedan rechazadas. De esta forma, siguiendo la </w:t>
      </w:r>
      <w:r w:rsidR="00696E44">
        <w:t>función</w:t>
      </w:r>
      <w:r>
        <w:t xml:space="preserve"> que aparece a continuación, la regresión nos permi</w:t>
      </w:r>
      <w:r w:rsidR="003F17C7">
        <w:t>te calcular la puntuación en Rendimiento</w:t>
      </w:r>
      <w:r w:rsidR="00696E44">
        <w:t>, del mismo modo que se podrían predecir el resto de variables en función de las otras.</w:t>
      </w:r>
    </w:p>
    <w:p w:rsidR="00797D3E" w:rsidRDefault="00797D3E" w:rsidP="00A72028">
      <w:pPr>
        <w:spacing w:line="360" w:lineRule="auto"/>
        <w:rPr>
          <w:b/>
        </w:rPr>
      </w:pPr>
    </w:p>
    <w:p w:rsidR="00805343" w:rsidRDefault="00805343" w:rsidP="00A72028">
      <w:pPr>
        <w:spacing w:after="200" w:line="360" w:lineRule="auto"/>
        <w:jc w:val="center"/>
        <w:rPr>
          <w:rFonts w:asciiTheme="minorHAnsi" w:eastAsiaTheme="minorHAnsi" w:hAnsiTheme="minorHAnsi" w:cstheme="minorBidi"/>
          <w:b/>
          <w:sz w:val="20"/>
          <w:szCs w:val="20"/>
          <w:lang w:eastAsia="en-US"/>
        </w:rPr>
      </w:pPr>
      <w:r w:rsidRPr="00805343">
        <w:rPr>
          <w:rFonts w:asciiTheme="minorHAnsi" w:eastAsiaTheme="minorHAnsi" w:hAnsiTheme="minorHAnsi" w:cstheme="minorBidi"/>
          <w:b/>
          <w:sz w:val="20"/>
          <w:szCs w:val="20"/>
          <w:lang w:eastAsia="en-US"/>
        </w:rPr>
        <w:t>Rendimiento Total=</w:t>
      </w:r>
      <w:r w:rsidR="003F17C7">
        <w:rPr>
          <w:rFonts w:asciiTheme="minorHAnsi" w:eastAsiaTheme="minorHAnsi" w:hAnsiTheme="minorHAnsi" w:cstheme="minorBidi"/>
          <w:b/>
          <w:sz w:val="20"/>
          <w:szCs w:val="20"/>
          <w:lang w:eastAsia="en-US"/>
        </w:rPr>
        <w:t>0</w:t>
      </w:r>
      <w:r w:rsidRPr="00805343">
        <w:rPr>
          <w:rFonts w:asciiTheme="minorHAnsi" w:eastAsiaTheme="minorHAnsi" w:hAnsiTheme="minorHAnsi" w:cstheme="minorBidi"/>
          <w:b/>
          <w:sz w:val="20"/>
          <w:szCs w:val="20"/>
          <w:lang w:eastAsia="en-US"/>
        </w:rPr>
        <w:t>,</w:t>
      </w:r>
      <w:r w:rsidR="003F17C7">
        <w:rPr>
          <w:rFonts w:asciiTheme="minorHAnsi" w:eastAsiaTheme="minorHAnsi" w:hAnsiTheme="minorHAnsi" w:cstheme="minorBidi"/>
          <w:b/>
          <w:sz w:val="20"/>
          <w:szCs w:val="20"/>
          <w:lang w:eastAsia="en-US"/>
        </w:rPr>
        <w:t>908</w:t>
      </w:r>
      <w:r w:rsidRPr="00805343">
        <w:rPr>
          <w:rFonts w:asciiTheme="minorHAnsi" w:eastAsiaTheme="minorHAnsi" w:hAnsiTheme="minorHAnsi" w:cstheme="minorBidi"/>
          <w:b/>
          <w:sz w:val="20"/>
          <w:szCs w:val="20"/>
          <w:lang w:eastAsia="en-US"/>
        </w:rPr>
        <w:t xml:space="preserve"> + </w:t>
      </w:r>
      <w:r w:rsidR="003F17C7">
        <w:rPr>
          <w:rFonts w:asciiTheme="minorHAnsi" w:eastAsiaTheme="minorHAnsi" w:hAnsiTheme="minorHAnsi" w:cstheme="minorBidi"/>
          <w:b/>
          <w:sz w:val="20"/>
          <w:szCs w:val="20"/>
          <w:lang w:eastAsia="en-US"/>
        </w:rPr>
        <w:t>0</w:t>
      </w:r>
      <w:r>
        <w:rPr>
          <w:rFonts w:asciiTheme="minorHAnsi" w:eastAsiaTheme="minorHAnsi" w:hAnsiTheme="minorHAnsi" w:cstheme="minorBidi"/>
          <w:b/>
          <w:sz w:val="20"/>
          <w:szCs w:val="20"/>
          <w:lang w:eastAsia="en-US"/>
        </w:rPr>
        <w:t>,</w:t>
      </w:r>
      <w:r w:rsidR="003F17C7">
        <w:rPr>
          <w:rFonts w:asciiTheme="minorHAnsi" w:eastAsiaTheme="minorHAnsi" w:hAnsiTheme="minorHAnsi" w:cstheme="minorBidi"/>
          <w:b/>
          <w:sz w:val="20"/>
          <w:szCs w:val="20"/>
          <w:lang w:eastAsia="en-US"/>
        </w:rPr>
        <w:t>05</w:t>
      </w:r>
      <w:r>
        <w:rPr>
          <w:rFonts w:asciiTheme="minorHAnsi" w:eastAsiaTheme="minorHAnsi" w:hAnsiTheme="minorHAnsi" w:cstheme="minorBidi"/>
          <w:b/>
          <w:sz w:val="20"/>
          <w:szCs w:val="20"/>
          <w:lang w:eastAsia="en-US"/>
        </w:rPr>
        <w:t xml:space="preserve"> (</w:t>
      </w:r>
      <w:r w:rsidR="003F17C7">
        <w:rPr>
          <w:rFonts w:asciiTheme="minorHAnsi" w:eastAsiaTheme="minorHAnsi" w:hAnsiTheme="minorHAnsi" w:cstheme="minorBidi"/>
          <w:b/>
          <w:sz w:val="20"/>
          <w:szCs w:val="20"/>
          <w:lang w:eastAsia="en-US"/>
        </w:rPr>
        <w:t>Edad/Etapa</w:t>
      </w:r>
      <w:r>
        <w:rPr>
          <w:rFonts w:asciiTheme="minorHAnsi" w:eastAsiaTheme="minorHAnsi" w:hAnsiTheme="minorHAnsi" w:cstheme="minorBidi"/>
          <w:b/>
          <w:sz w:val="20"/>
          <w:szCs w:val="20"/>
          <w:lang w:eastAsia="en-US"/>
        </w:rPr>
        <w:t xml:space="preserve">) </w:t>
      </w:r>
      <w:r w:rsidRPr="00805343">
        <w:rPr>
          <w:rFonts w:asciiTheme="minorHAnsi" w:eastAsiaTheme="minorHAnsi" w:hAnsiTheme="minorHAnsi" w:cstheme="minorBidi"/>
          <w:b/>
          <w:sz w:val="20"/>
          <w:szCs w:val="20"/>
          <w:lang w:eastAsia="en-US"/>
        </w:rPr>
        <w:t xml:space="preserve">+ </w:t>
      </w:r>
      <w:r w:rsidR="003F17C7">
        <w:rPr>
          <w:rFonts w:asciiTheme="minorHAnsi" w:eastAsiaTheme="minorHAnsi" w:hAnsiTheme="minorHAnsi" w:cstheme="minorBidi"/>
          <w:b/>
          <w:sz w:val="20"/>
          <w:szCs w:val="20"/>
          <w:lang w:eastAsia="en-US"/>
        </w:rPr>
        <w:t>0</w:t>
      </w:r>
      <w:r w:rsidRPr="00805343">
        <w:rPr>
          <w:rFonts w:asciiTheme="minorHAnsi" w:eastAsiaTheme="minorHAnsi" w:hAnsiTheme="minorHAnsi" w:cstheme="minorBidi"/>
          <w:b/>
          <w:sz w:val="20"/>
          <w:szCs w:val="20"/>
          <w:lang w:eastAsia="en-US"/>
        </w:rPr>
        <w:t>,</w:t>
      </w:r>
      <w:r w:rsidR="003F17C7">
        <w:rPr>
          <w:rFonts w:asciiTheme="minorHAnsi" w:eastAsiaTheme="minorHAnsi" w:hAnsiTheme="minorHAnsi" w:cstheme="minorBidi"/>
          <w:b/>
          <w:sz w:val="20"/>
          <w:szCs w:val="20"/>
          <w:lang w:eastAsia="en-US"/>
        </w:rPr>
        <w:t>078</w:t>
      </w:r>
      <w:r w:rsidRPr="00805343">
        <w:rPr>
          <w:rFonts w:asciiTheme="minorHAnsi" w:eastAsiaTheme="minorHAnsi" w:hAnsiTheme="minorHAnsi" w:cstheme="minorBidi"/>
          <w:b/>
          <w:sz w:val="20"/>
          <w:szCs w:val="20"/>
          <w:lang w:eastAsia="en-US"/>
        </w:rPr>
        <w:t xml:space="preserve"> (E</w:t>
      </w:r>
      <w:r w:rsidR="003F17C7">
        <w:rPr>
          <w:rFonts w:asciiTheme="minorHAnsi" w:eastAsiaTheme="minorHAnsi" w:hAnsiTheme="minorHAnsi" w:cstheme="minorBidi"/>
          <w:b/>
          <w:sz w:val="20"/>
          <w:szCs w:val="20"/>
          <w:lang w:eastAsia="en-US"/>
        </w:rPr>
        <w:t>status</w:t>
      </w:r>
      <w:r w:rsidRPr="00805343">
        <w:rPr>
          <w:rFonts w:asciiTheme="minorHAnsi" w:eastAsiaTheme="minorHAnsi" w:hAnsiTheme="minorHAnsi" w:cstheme="minorBidi"/>
          <w:b/>
          <w:sz w:val="20"/>
          <w:szCs w:val="20"/>
          <w:lang w:eastAsia="en-US"/>
        </w:rPr>
        <w:t xml:space="preserve">) </w:t>
      </w:r>
      <w:r w:rsidR="003F17C7">
        <w:rPr>
          <w:rFonts w:asciiTheme="minorHAnsi" w:eastAsiaTheme="minorHAnsi" w:hAnsiTheme="minorHAnsi" w:cstheme="minorBidi"/>
          <w:b/>
          <w:sz w:val="20"/>
          <w:szCs w:val="20"/>
          <w:lang w:eastAsia="en-US"/>
        </w:rPr>
        <w:t>-</w:t>
      </w:r>
      <w:r w:rsidRPr="00805343">
        <w:rPr>
          <w:rFonts w:asciiTheme="minorHAnsi" w:eastAsiaTheme="minorHAnsi" w:hAnsiTheme="minorHAnsi" w:cstheme="minorBidi"/>
          <w:b/>
          <w:sz w:val="20"/>
          <w:szCs w:val="20"/>
          <w:lang w:eastAsia="en-US"/>
        </w:rPr>
        <w:t xml:space="preserve"> 0,</w:t>
      </w:r>
      <w:r w:rsidR="003F17C7">
        <w:rPr>
          <w:rFonts w:asciiTheme="minorHAnsi" w:eastAsiaTheme="minorHAnsi" w:hAnsiTheme="minorHAnsi" w:cstheme="minorBidi"/>
          <w:b/>
          <w:sz w:val="20"/>
          <w:szCs w:val="20"/>
          <w:lang w:eastAsia="en-US"/>
        </w:rPr>
        <w:t>097</w:t>
      </w:r>
      <w:r w:rsidRPr="00805343">
        <w:rPr>
          <w:rFonts w:asciiTheme="minorHAnsi" w:eastAsiaTheme="minorHAnsi" w:hAnsiTheme="minorHAnsi" w:cstheme="minorBidi"/>
          <w:b/>
          <w:sz w:val="20"/>
          <w:szCs w:val="20"/>
          <w:lang w:eastAsia="en-US"/>
        </w:rPr>
        <w:t xml:space="preserve"> (</w:t>
      </w:r>
      <w:r w:rsidR="003F17C7">
        <w:rPr>
          <w:rFonts w:asciiTheme="minorHAnsi" w:eastAsiaTheme="minorHAnsi" w:hAnsiTheme="minorHAnsi" w:cstheme="minorBidi"/>
          <w:b/>
          <w:sz w:val="20"/>
          <w:szCs w:val="20"/>
          <w:lang w:eastAsia="en-US"/>
        </w:rPr>
        <w:t>Cultura/Religión</w:t>
      </w:r>
      <w:r w:rsidRPr="00805343">
        <w:rPr>
          <w:rFonts w:asciiTheme="minorHAnsi" w:eastAsiaTheme="minorHAnsi" w:hAnsiTheme="minorHAnsi" w:cstheme="minorBidi"/>
          <w:b/>
          <w:sz w:val="20"/>
          <w:szCs w:val="20"/>
          <w:lang w:eastAsia="en-US"/>
        </w:rPr>
        <w:t>) – 0,</w:t>
      </w:r>
      <w:r w:rsidR="003F17C7">
        <w:rPr>
          <w:rFonts w:asciiTheme="minorHAnsi" w:eastAsiaTheme="minorHAnsi" w:hAnsiTheme="minorHAnsi" w:cstheme="minorBidi"/>
          <w:b/>
          <w:sz w:val="20"/>
          <w:szCs w:val="20"/>
          <w:lang w:eastAsia="en-US"/>
        </w:rPr>
        <w:t>083</w:t>
      </w:r>
      <w:r w:rsidRPr="00805343">
        <w:rPr>
          <w:rFonts w:asciiTheme="minorHAnsi" w:eastAsiaTheme="minorHAnsi" w:hAnsiTheme="minorHAnsi" w:cstheme="minorBidi"/>
          <w:b/>
          <w:sz w:val="20"/>
          <w:szCs w:val="20"/>
          <w:lang w:eastAsia="en-US"/>
        </w:rPr>
        <w:t xml:space="preserve"> (Media Total Miedo)</w:t>
      </w:r>
    </w:p>
    <w:p w:rsidR="00696E44" w:rsidRDefault="00696E44" w:rsidP="00A72028">
      <w:pPr>
        <w:autoSpaceDE w:val="0"/>
        <w:autoSpaceDN w:val="0"/>
        <w:adjustRightInd w:val="0"/>
        <w:spacing w:line="360" w:lineRule="auto"/>
        <w:ind w:firstLine="708"/>
        <w:jc w:val="center"/>
        <w:rPr>
          <w:b/>
          <w:sz w:val="20"/>
          <w:szCs w:val="20"/>
        </w:rPr>
      </w:pPr>
    </w:p>
    <w:p w:rsidR="00696E44" w:rsidRPr="004F2328" w:rsidRDefault="00696E44" w:rsidP="00A72028">
      <w:pPr>
        <w:autoSpaceDE w:val="0"/>
        <w:autoSpaceDN w:val="0"/>
        <w:adjustRightInd w:val="0"/>
        <w:spacing w:line="360" w:lineRule="auto"/>
        <w:ind w:firstLine="708"/>
        <w:jc w:val="center"/>
      </w:pPr>
      <w:r>
        <w:rPr>
          <w:b/>
          <w:sz w:val="20"/>
          <w:szCs w:val="20"/>
        </w:rPr>
        <w:t xml:space="preserve">Tabla </w:t>
      </w:r>
      <w:r w:rsidR="001E3D21">
        <w:rPr>
          <w:b/>
          <w:sz w:val="20"/>
          <w:szCs w:val="20"/>
        </w:rPr>
        <w:t>6</w:t>
      </w:r>
      <w:r w:rsidRPr="00376902">
        <w:rPr>
          <w:b/>
          <w:sz w:val="20"/>
          <w:szCs w:val="20"/>
        </w:rPr>
        <w:t>.</w:t>
      </w:r>
      <w:r w:rsidRPr="00AF3063">
        <w:t xml:space="preserve"> </w:t>
      </w:r>
      <w:r w:rsidRPr="00AF3063">
        <w:rPr>
          <w:b/>
          <w:sz w:val="20"/>
          <w:szCs w:val="20"/>
        </w:rPr>
        <w:t xml:space="preserve">Regresión múltiple considerando como variable criterio </w:t>
      </w:r>
      <w:r>
        <w:rPr>
          <w:b/>
          <w:sz w:val="20"/>
          <w:szCs w:val="20"/>
        </w:rPr>
        <w:t xml:space="preserve">el Rendimiento </w:t>
      </w:r>
      <w:r w:rsidRPr="00AF3063">
        <w:rPr>
          <w:b/>
          <w:sz w:val="20"/>
          <w:szCs w:val="20"/>
        </w:rPr>
        <w:t xml:space="preserve">y como predictoras </w:t>
      </w:r>
      <w:r>
        <w:rPr>
          <w:b/>
          <w:sz w:val="20"/>
          <w:szCs w:val="20"/>
        </w:rPr>
        <w:t>el resto</w:t>
      </w:r>
      <w:r>
        <w:t xml:space="preserve">  </w:t>
      </w:r>
    </w:p>
    <w:tbl>
      <w:tblPr>
        <w:tblW w:w="0" w:type="auto"/>
        <w:jc w:val="center"/>
        <w:tblInd w:w="-313" w:type="dxa"/>
        <w:tblLayout w:type="fixed"/>
        <w:tblCellMar>
          <w:left w:w="120" w:type="dxa"/>
          <w:right w:w="120" w:type="dxa"/>
        </w:tblCellMar>
        <w:tblLook w:val="04A0" w:firstRow="1" w:lastRow="0" w:firstColumn="1" w:lastColumn="0" w:noHBand="0" w:noVBand="1"/>
      </w:tblPr>
      <w:tblGrid>
        <w:gridCol w:w="2354"/>
        <w:gridCol w:w="1077"/>
        <w:gridCol w:w="1077"/>
        <w:gridCol w:w="1076"/>
        <w:gridCol w:w="1303"/>
      </w:tblGrid>
      <w:tr w:rsidR="001E3D21" w:rsidRPr="001E3D21" w:rsidTr="001E3D21">
        <w:trPr>
          <w:cantSplit/>
          <w:jc w:val="center"/>
        </w:trPr>
        <w:tc>
          <w:tcPr>
            <w:tcW w:w="6887" w:type="dxa"/>
            <w:gridSpan w:val="5"/>
            <w:tcBorders>
              <w:top w:val="single" w:sz="6" w:space="0" w:color="000000"/>
              <w:left w:val="single" w:sz="6" w:space="0" w:color="000000"/>
              <w:bottom w:val="nil"/>
              <w:right w:val="single" w:sz="6" w:space="0" w:color="000000"/>
            </w:tcBorders>
            <w:shd w:val="clear" w:color="auto" w:fill="B6DDE8" w:themeFill="accent5" w:themeFillTint="66"/>
            <w:hideMark/>
          </w:tcPr>
          <w:p w:rsidR="001E3D21" w:rsidRPr="001E3D21" w:rsidRDefault="001E3D21" w:rsidP="001E3D21">
            <w:pPr>
              <w:spacing w:before="144" w:line="480" w:lineRule="auto"/>
              <w:jc w:val="both"/>
              <w:rPr>
                <w:sz w:val="20"/>
                <w:szCs w:val="20"/>
              </w:rPr>
            </w:pPr>
            <w:r w:rsidRPr="001E3D21">
              <w:rPr>
                <w:b/>
                <w:bCs/>
                <w:sz w:val="20"/>
                <w:szCs w:val="20"/>
              </w:rPr>
              <w:t>R=0,557              R</w:t>
            </w:r>
            <w:r w:rsidRPr="001E3D21">
              <w:rPr>
                <w:b/>
                <w:bCs/>
                <w:sz w:val="20"/>
                <w:szCs w:val="20"/>
                <w:vertAlign w:val="superscript"/>
              </w:rPr>
              <w:t>2</w:t>
            </w:r>
            <w:r w:rsidRPr="001E3D21">
              <w:rPr>
                <w:b/>
                <w:bCs/>
                <w:sz w:val="20"/>
                <w:szCs w:val="20"/>
              </w:rPr>
              <w:t>= 0,310</w:t>
            </w:r>
            <w:r w:rsidRPr="001E3D21">
              <w:rPr>
                <w:b/>
                <w:bCs/>
                <w:sz w:val="20"/>
                <w:szCs w:val="20"/>
              </w:rPr>
              <w:tab/>
              <w:t xml:space="preserve">      F= 125,857                    p= 0,</w:t>
            </w:r>
            <w:r w:rsidRPr="001E3D21">
              <w:rPr>
                <w:b/>
                <w:bCs/>
                <w:sz w:val="20"/>
                <w:szCs w:val="20"/>
              </w:rPr>
              <w:softHyphen/>
              <w:t>0</w:t>
            </w:r>
            <w:r w:rsidRPr="001E3D21">
              <w:rPr>
                <w:b/>
                <w:bCs/>
                <w:sz w:val="20"/>
                <w:szCs w:val="20"/>
              </w:rPr>
              <w:softHyphen/>
              <w:t>000</w:t>
            </w:r>
          </w:p>
        </w:tc>
      </w:tr>
      <w:tr w:rsidR="001E3D21" w:rsidRPr="001E3D21" w:rsidTr="001E3D21">
        <w:trPr>
          <w:cantSplit/>
          <w:jc w:val="center"/>
        </w:trPr>
        <w:tc>
          <w:tcPr>
            <w:tcW w:w="2354"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b/>
                <w:sz w:val="22"/>
                <w:szCs w:val="22"/>
              </w:rPr>
            </w:pPr>
            <w:r w:rsidRPr="001E3D21">
              <w:rPr>
                <w:rFonts w:asciiTheme="minorHAnsi" w:hAnsiTheme="minorHAnsi"/>
                <w:b/>
                <w:bCs/>
                <w:sz w:val="22"/>
                <w:szCs w:val="22"/>
              </w:rPr>
              <w:t>Variables</w:t>
            </w:r>
          </w:p>
        </w:tc>
        <w:tc>
          <w:tcPr>
            <w:tcW w:w="1077"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b/>
                <w:sz w:val="22"/>
                <w:szCs w:val="22"/>
              </w:rPr>
            </w:pPr>
            <w:r w:rsidRPr="001E3D21">
              <w:rPr>
                <w:rFonts w:asciiTheme="minorHAnsi" w:hAnsiTheme="minorHAnsi"/>
                <w:b/>
                <w:bCs/>
                <w:sz w:val="22"/>
                <w:szCs w:val="22"/>
              </w:rPr>
              <w:t>B</w:t>
            </w:r>
          </w:p>
        </w:tc>
        <w:tc>
          <w:tcPr>
            <w:tcW w:w="1077"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b/>
                <w:sz w:val="22"/>
                <w:szCs w:val="22"/>
              </w:rPr>
            </w:pPr>
            <w:r w:rsidRPr="001E3D21">
              <w:rPr>
                <w:rFonts w:asciiTheme="minorHAnsi" w:hAnsiTheme="minorHAnsi"/>
                <w:b/>
                <w:bCs/>
                <w:sz w:val="22"/>
                <w:szCs w:val="22"/>
              </w:rPr>
              <w:t>β</w:t>
            </w:r>
          </w:p>
        </w:tc>
        <w:tc>
          <w:tcPr>
            <w:tcW w:w="1076"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b/>
                <w:sz w:val="22"/>
                <w:szCs w:val="22"/>
              </w:rPr>
            </w:pPr>
            <w:r w:rsidRPr="001E3D21">
              <w:rPr>
                <w:rFonts w:asciiTheme="minorHAnsi" w:hAnsiTheme="minorHAnsi"/>
                <w:b/>
                <w:bCs/>
                <w:sz w:val="22"/>
                <w:szCs w:val="22"/>
              </w:rPr>
              <w:t>t</w:t>
            </w:r>
          </w:p>
        </w:tc>
        <w:tc>
          <w:tcPr>
            <w:tcW w:w="1303" w:type="dxa"/>
            <w:tcBorders>
              <w:top w:val="single" w:sz="6" w:space="0" w:color="000000"/>
              <w:left w:val="single" w:sz="6" w:space="0" w:color="000000"/>
              <w:bottom w:val="nil"/>
              <w:right w:val="single" w:sz="6" w:space="0" w:color="000000"/>
            </w:tcBorders>
            <w:hideMark/>
          </w:tcPr>
          <w:p w:rsidR="001E3D21" w:rsidRPr="001E3D21" w:rsidRDefault="001E3D21" w:rsidP="001E3D21">
            <w:pPr>
              <w:spacing w:before="144" w:line="480" w:lineRule="auto"/>
              <w:jc w:val="center"/>
              <w:rPr>
                <w:rFonts w:asciiTheme="minorHAnsi" w:hAnsiTheme="minorHAnsi"/>
                <w:b/>
                <w:sz w:val="22"/>
                <w:szCs w:val="22"/>
              </w:rPr>
            </w:pPr>
            <w:r w:rsidRPr="001E3D21">
              <w:rPr>
                <w:rFonts w:asciiTheme="minorHAnsi" w:hAnsiTheme="minorHAnsi"/>
                <w:b/>
                <w:bCs/>
                <w:sz w:val="22"/>
                <w:szCs w:val="22"/>
              </w:rPr>
              <w:t>p</w:t>
            </w:r>
          </w:p>
        </w:tc>
      </w:tr>
      <w:tr w:rsidR="001E3D21" w:rsidRPr="001E3D21" w:rsidTr="001E3D21">
        <w:trPr>
          <w:cantSplit/>
          <w:jc w:val="center"/>
        </w:trPr>
        <w:tc>
          <w:tcPr>
            <w:tcW w:w="2354"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sz w:val="22"/>
                <w:szCs w:val="22"/>
              </w:rPr>
            </w:pPr>
            <w:r w:rsidRPr="001E3D21">
              <w:rPr>
                <w:rFonts w:asciiTheme="minorHAnsi" w:hAnsiTheme="minorHAnsi"/>
                <w:bCs/>
                <w:sz w:val="22"/>
                <w:szCs w:val="22"/>
              </w:rPr>
              <w:t>Constante General</w:t>
            </w:r>
          </w:p>
        </w:tc>
        <w:tc>
          <w:tcPr>
            <w:tcW w:w="1077" w:type="dxa"/>
            <w:tcBorders>
              <w:top w:val="single" w:sz="6" w:space="0" w:color="000000"/>
              <w:left w:val="single" w:sz="6" w:space="0" w:color="000000"/>
              <w:bottom w:val="nil"/>
              <w:right w:val="nil"/>
            </w:tcBorders>
            <w:hideMark/>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0,908</w:t>
            </w:r>
          </w:p>
        </w:tc>
        <w:tc>
          <w:tcPr>
            <w:tcW w:w="1077" w:type="dxa"/>
            <w:tcBorders>
              <w:top w:val="single" w:sz="6" w:space="0" w:color="000000"/>
              <w:left w:val="single" w:sz="6" w:space="0" w:color="000000"/>
              <w:bottom w:val="nil"/>
              <w:right w:val="nil"/>
            </w:tcBorders>
          </w:tcPr>
          <w:p w:rsidR="001E3D21" w:rsidRPr="001E3D21" w:rsidRDefault="001E3D21" w:rsidP="001E3D21">
            <w:pPr>
              <w:spacing w:before="144" w:line="480" w:lineRule="auto"/>
              <w:jc w:val="center"/>
              <w:rPr>
                <w:rFonts w:asciiTheme="minorHAnsi" w:hAnsiTheme="minorHAnsi"/>
                <w:sz w:val="22"/>
                <w:szCs w:val="22"/>
              </w:rPr>
            </w:pPr>
          </w:p>
        </w:tc>
        <w:tc>
          <w:tcPr>
            <w:tcW w:w="1076" w:type="dxa"/>
            <w:tcBorders>
              <w:top w:val="single" w:sz="6" w:space="0" w:color="000000"/>
              <w:left w:val="single" w:sz="6" w:space="0" w:color="000000"/>
              <w:bottom w:val="nil"/>
              <w:right w:val="nil"/>
            </w:tcBorders>
          </w:tcPr>
          <w:p w:rsidR="001E3D21" w:rsidRPr="001E3D21" w:rsidRDefault="001E3D21" w:rsidP="001E3D21">
            <w:pPr>
              <w:autoSpaceDE w:val="0"/>
              <w:autoSpaceDN w:val="0"/>
              <w:adjustRightInd w:val="0"/>
              <w:spacing w:line="320" w:lineRule="atLeast"/>
              <w:ind w:left="60" w:right="60"/>
              <w:jc w:val="right"/>
              <w:rPr>
                <w:rFonts w:asciiTheme="minorHAnsi" w:eastAsiaTheme="minorHAnsi" w:hAnsiTheme="minorHAnsi" w:cs="Arial"/>
                <w:color w:val="000000"/>
                <w:sz w:val="22"/>
                <w:szCs w:val="22"/>
                <w:lang w:eastAsia="en-US"/>
              </w:rPr>
            </w:pPr>
            <w:r w:rsidRPr="001E3D21">
              <w:rPr>
                <w:rFonts w:asciiTheme="minorHAnsi" w:eastAsiaTheme="minorHAnsi" w:hAnsiTheme="minorHAnsi" w:cs="Arial"/>
                <w:color w:val="000000"/>
                <w:sz w:val="22"/>
                <w:szCs w:val="22"/>
                <w:lang w:eastAsia="en-US"/>
              </w:rPr>
              <w:t>11,625</w:t>
            </w:r>
          </w:p>
        </w:tc>
        <w:tc>
          <w:tcPr>
            <w:tcW w:w="1303" w:type="dxa"/>
            <w:tcBorders>
              <w:top w:val="single" w:sz="6" w:space="0" w:color="000000"/>
              <w:left w:val="single" w:sz="6" w:space="0" w:color="000000"/>
              <w:bottom w:val="nil"/>
              <w:right w:val="single" w:sz="6" w:space="0" w:color="000000"/>
            </w:tcBorders>
            <w:hideMark/>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,0000</w:t>
            </w:r>
          </w:p>
        </w:tc>
      </w:tr>
      <w:tr w:rsidR="001E3D21" w:rsidRPr="001E3D21" w:rsidTr="001E3D21">
        <w:trPr>
          <w:cantSplit/>
          <w:jc w:val="center"/>
        </w:trPr>
        <w:tc>
          <w:tcPr>
            <w:tcW w:w="2354" w:type="dxa"/>
            <w:tcBorders>
              <w:top w:val="single" w:sz="6" w:space="0" w:color="000000"/>
              <w:left w:val="single" w:sz="6" w:space="0" w:color="000000"/>
              <w:bottom w:val="nil"/>
              <w:right w:val="nil"/>
            </w:tcBorders>
            <w:hideMark/>
          </w:tcPr>
          <w:p w:rsidR="001E3D21" w:rsidRPr="001E3D21" w:rsidRDefault="001E3D21" w:rsidP="001E3D21">
            <w:pPr>
              <w:spacing w:before="144" w:line="480" w:lineRule="auto"/>
              <w:jc w:val="center"/>
              <w:rPr>
                <w:rFonts w:asciiTheme="minorHAnsi" w:hAnsiTheme="minorHAnsi"/>
                <w:sz w:val="22"/>
                <w:szCs w:val="22"/>
              </w:rPr>
            </w:pPr>
            <w:r w:rsidRPr="001E3D21">
              <w:rPr>
                <w:rFonts w:asciiTheme="minorHAnsi" w:hAnsiTheme="minorHAnsi"/>
                <w:sz w:val="22"/>
                <w:szCs w:val="22"/>
              </w:rPr>
              <w:t>Edad</w:t>
            </w:r>
            <w:r w:rsidR="003F17C7">
              <w:rPr>
                <w:rFonts w:asciiTheme="minorHAnsi" w:hAnsiTheme="minorHAnsi"/>
                <w:sz w:val="22"/>
                <w:szCs w:val="22"/>
              </w:rPr>
              <w:t>/Etapa</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,050</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,495</w:t>
            </w:r>
          </w:p>
        </w:tc>
        <w:tc>
          <w:tcPr>
            <w:tcW w:w="1076"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inorHAnsi" w:eastAsiaTheme="minorHAnsi" w:hAnsiTheme="minorHAnsi" w:cs="Arial"/>
                <w:color w:val="000000"/>
                <w:sz w:val="22"/>
                <w:szCs w:val="22"/>
                <w:lang w:eastAsia="en-US"/>
              </w:rPr>
            </w:pPr>
            <w:r w:rsidRPr="001E3D21">
              <w:rPr>
                <w:rFonts w:asciiTheme="minorHAnsi" w:eastAsiaTheme="minorHAnsi" w:hAnsiTheme="minorHAnsi" w:cs="Arial"/>
                <w:color w:val="000000"/>
                <w:sz w:val="22"/>
                <w:szCs w:val="22"/>
                <w:lang w:eastAsia="en-US"/>
              </w:rPr>
              <w:t>17,359</w:t>
            </w:r>
          </w:p>
        </w:tc>
        <w:tc>
          <w:tcPr>
            <w:tcW w:w="1303" w:type="dxa"/>
            <w:tcBorders>
              <w:top w:val="single" w:sz="6" w:space="0" w:color="000000"/>
              <w:left w:val="single" w:sz="6" w:space="0" w:color="000000"/>
              <w:bottom w:val="single" w:sz="6" w:space="0" w:color="000000"/>
              <w:right w:val="single" w:sz="6" w:space="0" w:color="000000"/>
            </w:tcBorders>
            <w:hideMark/>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,0000</w:t>
            </w:r>
          </w:p>
        </w:tc>
      </w:tr>
      <w:tr w:rsidR="001E3D21" w:rsidRPr="001E3D21" w:rsidTr="001E3D21">
        <w:trPr>
          <w:cantSplit/>
          <w:trHeight w:val="338"/>
          <w:jc w:val="center"/>
        </w:trPr>
        <w:tc>
          <w:tcPr>
            <w:tcW w:w="2354" w:type="dxa"/>
            <w:tcBorders>
              <w:top w:val="single" w:sz="6" w:space="0" w:color="000000"/>
              <w:left w:val="single" w:sz="6" w:space="0" w:color="000000"/>
              <w:bottom w:val="single" w:sz="6" w:space="0" w:color="000000"/>
              <w:right w:val="nil"/>
            </w:tcBorders>
            <w:hideMark/>
          </w:tcPr>
          <w:p w:rsidR="001E3D21" w:rsidRPr="001E3D21" w:rsidRDefault="001E3D21" w:rsidP="001E3D21">
            <w:pPr>
              <w:spacing w:before="144" w:line="480" w:lineRule="auto"/>
              <w:jc w:val="center"/>
              <w:rPr>
                <w:rFonts w:asciiTheme="minorHAnsi" w:hAnsiTheme="minorHAnsi"/>
                <w:sz w:val="22"/>
                <w:szCs w:val="22"/>
              </w:rPr>
            </w:pPr>
            <w:r w:rsidRPr="001E3D21">
              <w:rPr>
                <w:rFonts w:asciiTheme="minorHAnsi" w:hAnsiTheme="minorHAnsi"/>
                <w:sz w:val="22"/>
                <w:szCs w:val="22"/>
              </w:rPr>
              <w:t xml:space="preserve">Estatus </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,078</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,185</w:t>
            </w:r>
          </w:p>
        </w:tc>
        <w:tc>
          <w:tcPr>
            <w:tcW w:w="1076"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inorHAnsi" w:eastAsiaTheme="minorHAnsi" w:hAnsiTheme="minorHAnsi" w:cs="Arial"/>
                <w:color w:val="000000"/>
                <w:sz w:val="22"/>
                <w:szCs w:val="22"/>
                <w:lang w:eastAsia="en-US"/>
              </w:rPr>
            </w:pPr>
            <w:r w:rsidRPr="001E3D21">
              <w:rPr>
                <w:rFonts w:asciiTheme="minorHAnsi" w:eastAsiaTheme="minorHAnsi" w:hAnsiTheme="minorHAnsi" w:cs="Arial"/>
                <w:color w:val="000000"/>
                <w:sz w:val="22"/>
                <w:szCs w:val="22"/>
                <w:lang w:eastAsia="en-US"/>
              </w:rPr>
              <w:t>6,695</w:t>
            </w:r>
          </w:p>
        </w:tc>
        <w:tc>
          <w:tcPr>
            <w:tcW w:w="1303" w:type="dxa"/>
            <w:tcBorders>
              <w:top w:val="single" w:sz="6" w:space="0" w:color="000000"/>
              <w:left w:val="single" w:sz="6" w:space="0" w:color="000000"/>
              <w:bottom w:val="single" w:sz="6" w:space="0" w:color="000000"/>
              <w:right w:val="single" w:sz="6" w:space="0" w:color="000000"/>
            </w:tcBorders>
            <w:hideMark/>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,000</w:t>
            </w:r>
          </w:p>
        </w:tc>
      </w:tr>
      <w:tr w:rsidR="001E3D21" w:rsidRPr="001E3D21" w:rsidTr="001E3D21">
        <w:trPr>
          <w:cantSplit/>
          <w:trHeight w:val="338"/>
          <w:jc w:val="center"/>
        </w:trPr>
        <w:tc>
          <w:tcPr>
            <w:tcW w:w="2354" w:type="dxa"/>
            <w:tcBorders>
              <w:top w:val="single" w:sz="6" w:space="0" w:color="000000"/>
              <w:left w:val="single" w:sz="6" w:space="0" w:color="000000"/>
              <w:bottom w:val="single" w:sz="6" w:space="0" w:color="000000"/>
              <w:right w:val="nil"/>
            </w:tcBorders>
            <w:hideMark/>
          </w:tcPr>
          <w:p w:rsidR="001E3D21" w:rsidRPr="001E3D21" w:rsidRDefault="001E3D21" w:rsidP="001E3D21">
            <w:pPr>
              <w:spacing w:before="144" w:line="480" w:lineRule="auto"/>
              <w:jc w:val="center"/>
              <w:rPr>
                <w:rFonts w:asciiTheme="minorHAnsi" w:hAnsiTheme="minorHAnsi"/>
                <w:sz w:val="22"/>
                <w:szCs w:val="22"/>
              </w:rPr>
            </w:pPr>
            <w:r w:rsidRPr="001E3D21">
              <w:rPr>
                <w:rFonts w:asciiTheme="minorHAnsi" w:hAnsiTheme="minorHAnsi"/>
                <w:sz w:val="22"/>
                <w:szCs w:val="22"/>
              </w:rPr>
              <w:t>Cultura/Religión</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-,097</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-,136</w:t>
            </w:r>
          </w:p>
        </w:tc>
        <w:tc>
          <w:tcPr>
            <w:tcW w:w="1076"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inorHAnsi" w:eastAsiaTheme="minorHAnsi" w:hAnsiTheme="minorHAnsi" w:cs="Arial"/>
                <w:color w:val="000000"/>
                <w:sz w:val="22"/>
                <w:szCs w:val="22"/>
                <w:lang w:eastAsia="en-US"/>
              </w:rPr>
            </w:pPr>
            <w:r w:rsidRPr="001E3D21">
              <w:rPr>
                <w:rFonts w:asciiTheme="minorHAnsi" w:eastAsiaTheme="minorHAnsi" w:hAnsiTheme="minorHAnsi" w:cs="Arial"/>
                <w:color w:val="000000"/>
                <w:sz w:val="22"/>
                <w:szCs w:val="22"/>
                <w:lang w:eastAsia="en-US"/>
              </w:rPr>
              <w:t>-4,764</w:t>
            </w:r>
          </w:p>
        </w:tc>
        <w:tc>
          <w:tcPr>
            <w:tcW w:w="1303" w:type="dxa"/>
            <w:tcBorders>
              <w:top w:val="single" w:sz="6" w:space="0" w:color="000000"/>
              <w:left w:val="single" w:sz="6" w:space="0" w:color="000000"/>
              <w:bottom w:val="single" w:sz="6" w:space="0" w:color="000000"/>
              <w:right w:val="single" w:sz="6" w:space="0" w:color="000000"/>
            </w:tcBorders>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,000</w:t>
            </w:r>
          </w:p>
        </w:tc>
      </w:tr>
      <w:tr w:rsidR="001E3D21" w:rsidRPr="001E3D21" w:rsidTr="001E3D21">
        <w:trPr>
          <w:cantSplit/>
          <w:trHeight w:val="421"/>
          <w:jc w:val="center"/>
        </w:trPr>
        <w:tc>
          <w:tcPr>
            <w:tcW w:w="2354" w:type="dxa"/>
            <w:tcBorders>
              <w:top w:val="single" w:sz="6" w:space="0" w:color="000000"/>
              <w:left w:val="single" w:sz="6" w:space="0" w:color="000000"/>
              <w:bottom w:val="single" w:sz="6" w:space="0" w:color="000000"/>
              <w:right w:val="nil"/>
            </w:tcBorders>
          </w:tcPr>
          <w:p w:rsidR="001E3D21" w:rsidRPr="001E3D21" w:rsidRDefault="001E3D21" w:rsidP="001E3D21">
            <w:pPr>
              <w:spacing w:before="144" w:line="480" w:lineRule="auto"/>
              <w:jc w:val="center"/>
              <w:rPr>
                <w:rFonts w:asciiTheme="minorHAnsi" w:hAnsiTheme="minorHAnsi"/>
                <w:sz w:val="22"/>
                <w:szCs w:val="22"/>
              </w:rPr>
            </w:pPr>
            <w:r w:rsidRPr="001E3D21">
              <w:rPr>
                <w:rFonts w:asciiTheme="minorHAnsi" w:hAnsiTheme="minorHAnsi"/>
                <w:sz w:val="22"/>
                <w:szCs w:val="22"/>
              </w:rPr>
              <w:t xml:space="preserve">Miedo Total </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-,083</w:t>
            </w:r>
          </w:p>
        </w:tc>
        <w:tc>
          <w:tcPr>
            <w:tcW w:w="1077"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ajorHAnsi" w:eastAsiaTheme="minorHAnsi" w:hAnsiTheme="majorHAnsi" w:cs="Arial"/>
                <w:color w:val="000000"/>
                <w:sz w:val="22"/>
                <w:szCs w:val="22"/>
                <w:lang w:eastAsia="en-US"/>
              </w:rPr>
            </w:pPr>
            <w:r w:rsidRPr="001E3D21">
              <w:rPr>
                <w:rFonts w:asciiTheme="majorHAnsi" w:eastAsiaTheme="minorHAnsi" w:hAnsiTheme="majorHAnsi" w:cs="Arial"/>
                <w:color w:val="000000"/>
                <w:sz w:val="22"/>
                <w:szCs w:val="22"/>
                <w:lang w:eastAsia="en-US"/>
              </w:rPr>
              <w:t>,129</w:t>
            </w:r>
          </w:p>
        </w:tc>
        <w:tc>
          <w:tcPr>
            <w:tcW w:w="1076" w:type="dxa"/>
            <w:tcBorders>
              <w:top w:val="single" w:sz="6" w:space="0" w:color="000000"/>
              <w:left w:val="single" w:sz="6" w:space="0" w:color="000000"/>
              <w:bottom w:val="single" w:sz="6" w:space="0" w:color="000000"/>
              <w:right w:val="nil"/>
            </w:tcBorders>
          </w:tcPr>
          <w:p w:rsidR="001E3D21" w:rsidRPr="001E3D21" w:rsidRDefault="001E3D21" w:rsidP="001E3D21">
            <w:pPr>
              <w:autoSpaceDE w:val="0"/>
              <w:autoSpaceDN w:val="0"/>
              <w:adjustRightInd w:val="0"/>
              <w:spacing w:line="320" w:lineRule="atLeast"/>
              <w:ind w:left="60" w:right="60"/>
              <w:jc w:val="right"/>
              <w:rPr>
                <w:rFonts w:asciiTheme="minorHAnsi" w:eastAsiaTheme="minorHAnsi" w:hAnsiTheme="minorHAnsi" w:cs="Arial"/>
                <w:color w:val="000000"/>
                <w:sz w:val="22"/>
                <w:szCs w:val="22"/>
                <w:lang w:eastAsia="en-US"/>
              </w:rPr>
            </w:pPr>
            <w:r w:rsidRPr="001E3D21">
              <w:rPr>
                <w:rFonts w:asciiTheme="minorHAnsi" w:eastAsiaTheme="minorHAnsi" w:hAnsiTheme="minorHAnsi" w:cs="Arial"/>
                <w:color w:val="000000"/>
                <w:sz w:val="22"/>
                <w:szCs w:val="22"/>
                <w:lang w:eastAsia="en-US"/>
              </w:rPr>
              <w:t>4,557</w:t>
            </w:r>
          </w:p>
        </w:tc>
        <w:tc>
          <w:tcPr>
            <w:tcW w:w="1303" w:type="dxa"/>
            <w:tcBorders>
              <w:top w:val="single" w:sz="6" w:space="0" w:color="000000"/>
              <w:left w:val="single" w:sz="6" w:space="0" w:color="000000"/>
              <w:bottom w:val="single" w:sz="6" w:space="0" w:color="000000"/>
              <w:right w:val="single" w:sz="6" w:space="0" w:color="000000"/>
            </w:tcBorders>
          </w:tcPr>
          <w:p w:rsidR="001E3D21" w:rsidRPr="001E3D21" w:rsidRDefault="001E3D21" w:rsidP="001E3D21">
            <w:pPr>
              <w:spacing w:after="200" w:line="276" w:lineRule="auto"/>
              <w:jc w:val="center"/>
              <w:rPr>
                <w:rFonts w:asciiTheme="minorHAnsi" w:eastAsiaTheme="minorHAnsi" w:hAnsiTheme="minorHAnsi" w:cstheme="minorBidi"/>
                <w:sz w:val="22"/>
                <w:szCs w:val="22"/>
                <w:lang w:eastAsia="en-US"/>
              </w:rPr>
            </w:pPr>
            <w:r w:rsidRPr="001E3D21">
              <w:rPr>
                <w:rFonts w:asciiTheme="minorHAnsi" w:eastAsiaTheme="minorHAnsi" w:hAnsiTheme="minorHAnsi" w:cstheme="minorBidi"/>
                <w:sz w:val="22"/>
                <w:szCs w:val="22"/>
                <w:lang w:eastAsia="en-US"/>
              </w:rPr>
              <w:t>,000</w:t>
            </w:r>
          </w:p>
        </w:tc>
      </w:tr>
    </w:tbl>
    <w:p w:rsidR="00696E44" w:rsidRPr="00696E44" w:rsidRDefault="00696E44" w:rsidP="00A72028">
      <w:pPr>
        <w:spacing w:after="200" w:line="360" w:lineRule="auto"/>
        <w:jc w:val="center"/>
        <w:rPr>
          <w:rFonts w:asciiTheme="minorHAnsi" w:eastAsiaTheme="minorHAnsi" w:hAnsiTheme="minorHAnsi" w:cstheme="minorBidi"/>
          <w:b/>
          <w:sz w:val="20"/>
          <w:szCs w:val="20"/>
          <w:lang w:eastAsia="en-US"/>
        </w:rPr>
      </w:pPr>
    </w:p>
    <w:p w:rsidR="00FA2CCC" w:rsidRPr="005C7F9F" w:rsidRDefault="002933E9" w:rsidP="00A72028">
      <w:pPr>
        <w:spacing w:line="360" w:lineRule="auto"/>
        <w:rPr>
          <w:b/>
        </w:rPr>
      </w:pPr>
      <w:r>
        <w:rPr>
          <w:b/>
        </w:rPr>
        <w:t>Discusión/Conclusiones</w:t>
      </w:r>
    </w:p>
    <w:p w:rsidR="00326513" w:rsidRPr="005C7F9F" w:rsidRDefault="00037532" w:rsidP="00A72028">
      <w:pPr>
        <w:autoSpaceDE w:val="0"/>
        <w:autoSpaceDN w:val="0"/>
        <w:adjustRightInd w:val="0"/>
        <w:spacing w:line="360" w:lineRule="auto"/>
        <w:ind w:firstLine="708"/>
        <w:jc w:val="both"/>
      </w:pPr>
      <w:r w:rsidRPr="005C452F">
        <w:t xml:space="preserve">La población ceutí refleja niveles medios de miedo. </w:t>
      </w:r>
      <w:r w:rsidR="00595305" w:rsidRPr="005C452F">
        <w:t xml:space="preserve">La edad (etapa evolutiva) tiene influencia en los niveles de Miedo, siendo estos inversamente proporcionales a la </w:t>
      </w:r>
      <w:r w:rsidR="00595305" w:rsidRPr="005C452F">
        <w:lastRenderedPageBreak/>
        <w:t>etapa evolutiva a la que el sujeto pertenece.</w:t>
      </w:r>
      <w:r w:rsidR="005C452F" w:rsidRPr="005C452F">
        <w:t xml:space="preserve"> Desde este punto de vista, se puede decir, por tanto, que a medida que el sujeto se va desarrollando emocionalmente desciende su manifestación de miedo, variaciones ya comentadas </w:t>
      </w:r>
      <w:r w:rsidR="00C466A1">
        <w:t>en trabajos como los de Burnham (2007), Kushnir, Gothelf &amp; Sadeh</w:t>
      </w:r>
      <w:r w:rsidR="005C452F" w:rsidRPr="005C452F">
        <w:t xml:space="preserve"> (2014) y Miloyan, Bulley, Pacha</w:t>
      </w:r>
      <w:r w:rsidR="00C466A1">
        <w:t>na &amp; Byrne</w:t>
      </w:r>
      <w:r w:rsidR="005C452F" w:rsidRPr="005C452F">
        <w:t xml:space="preserve"> (2014).</w:t>
      </w:r>
      <w:r w:rsidR="00595305" w:rsidRPr="005C452F">
        <w:t xml:space="preserve"> </w:t>
      </w:r>
      <w:r w:rsidRPr="005C452F">
        <w:t xml:space="preserve"> </w:t>
      </w:r>
      <w:r w:rsidR="005C452F">
        <w:t>E</w:t>
      </w:r>
      <w:r w:rsidRPr="005C452F">
        <w:t xml:space="preserve">l </w:t>
      </w:r>
      <w:r w:rsidR="005C452F">
        <w:t xml:space="preserve">género también ejerce una influencia clara sobre los niveles de Miedo. </w:t>
      </w:r>
      <w:r w:rsidR="005C452F" w:rsidRPr="005C452F">
        <w:t xml:space="preserve">En todos los casos, las </w:t>
      </w:r>
      <w:r w:rsidR="005C452F">
        <w:t>mujeres</w:t>
      </w:r>
      <w:r w:rsidR="005C452F" w:rsidRPr="005C452F">
        <w:t xml:space="preserve"> reflejan niveles más altos. Esto era algo esperado, consi</w:t>
      </w:r>
      <w:r w:rsidR="00C466A1">
        <w:t>derando los trabajos de Burnham</w:t>
      </w:r>
      <w:r w:rsidR="005C452F" w:rsidRPr="005C452F">
        <w:t xml:space="preserve"> (2</w:t>
      </w:r>
      <w:r w:rsidR="00C466A1">
        <w:t>007), Matesanz (2006) y Burnham,</w:t>
      </w:r>
      <w:r w:rsidR="005C452F" w:rsidRPr="005C452F">
        <w:t xml:space="preserve"> Hooper </w:t>
      </w:r>
      <w:r w:rsidR="00C466A1">
        <w:t>&amp;</w:t>
      </w:r>
      <w:r w:rsidR="005C452F" w:rsidRPr="005C452F">
        <w:t xml:space="preserve"> Ogorchock (2011)</w:t>
      </w:r>
      <w:r w:rsidR="005C452F">
        <w:t>, en los que se evidenciaba claramente que los participantes de género femenino alcanzaban puntuaciones más altas en esta variable</w:t>
      </w:r>
      <w:r w:rsidR="005C452F" w:rsidRPr="005C452F">
        <w:t xml:space="preserve">. Como posible explicación parece válida la aportada por Méndez, Inglés, Hidalgo, García-Fernández </w:t>
      </w:r>
      <w:r w:rsidR="00C466A1">
        <w:t>&amp;</w:t>
      </w:r>
      <w:r w:rsidR="005C452F" w:rsidRPr="005C452F">
        <w:t xml:space="preserve"> Quiles (2003), relacionada con la educación diferencial que reciben niños y niñas, correspondiente con los diferentes estilos de crianza de chicos y chicas.</w:t>
      </w:r>
      <w:r w:rsidR="005C452F">
        <w:t xml:space="preserve"> Las diferencias en</w:t>
      </w:r>
      <w:r w:rsidRPr="005C452F">
        <w:t xml:space="preserve"> </w:t>
      </w:r>
      <w:r w:rsidR="005C452F">
        <w:t>estos patrones hace que las chicas sean más “emocionales” que los varones, lo que justificaría estas diferencias. L</w:t>
      </w:r>
      <w:r w:rsidRPr="005C452F">
        <w:t xml:space="preserve">a cultura </w:t>
      </w:r>
      <w:r w:rsidR="004317C1">
        <w:t xml:space="preserve">también determina las manifestaciones de Miedo. En este caso, son los musulmanes los que presentan niveles superiores para esta variable. Diferencias para los grupos culturales también se encontraron en </w:t>
      </w:r>
      <w:r w:rsidR="004317C1" w:rsidRPr="004317C1">
        <w:t xml:space="preserve">Burnham </w:t>
      </w:r>
      <w:r w:rsidR="00C466A1">
        <w:t>&amp;</w:t>
      </w:r>
      <w:r w:rsidR="004317C1" w:rsidRPr="004317C1">
        <w:t xml:space="preserve"> Lomax (2009) y Burnham</w:t>
      </w:r>
      <w:r w:rsidR="00C466A1">
        <w:t xml:space="preserve"> et al. </w:t>
      </w:r>
      <w:r w:rsidR="004317C1" w:rsidRPr="004317C1">
        <w:t>(2011)</w:t>
      </w:r>
      <w:r w:rsidR="004317C1">
        <w:t>. Totalmente relacionado con esta última afirmación, aparecen también diferencias estadísticamente significativas en cuanto al estatus. Las dos últimas variables se encuentran íntimamente relacionadas entre sí</w:t>
      </w:r>
      <w:r w:rsidRPr="00037532">
        <w:t xml:space="preserve">, lo </w:t>
      </w:r>
      <w:r w:rsidR="004317C1">
        <w:t xml:space="preserve">que hace que los niveles más bajos se den entre los </w:t>
      </w:r>
      <w:r w:rsidRPr="00037532">
        <w:t>pertenecientes a estatus bajos</w:t>
      </w:r>
      <w:r w:rsidR="004317C1">
        <w:t>.</w:t>
      </w:r>
      <w:r w:rsidR="004317C1" w:rsidRPr="004317C1">
        <w:t xml:space="preserve"> Esta realidad también fue encontrada en l</w:t>
      </w:r>
      <w:r w:rsidR="004317C1">
        <w:t>os</w:t>
      </w:r>
      <w:r w:rsidR="004317C1" w:rsidRPr="004317C1">
        <w:t xml:space="preserve"> trabajo</w:t>
      </w:r>
      <w:r w:rsidR="004317C1">
        <w:t>s</w:t>
      </w:r>
      <w:r w:rsidR="004317C1" w:rsidRPr="004317C1">
        <w:t xml:space="preserve"> de Burnham</w:t>
      </w:r>
      <w:r w:rsidR="00C466A1">
        <w:t xml:space="preserve"> et al. </w:t>
      </w:r>
      <w:r w:rsidR="004317C1" w:rsidRPr="004317C1">
        <w:t>(2011), Kushnir</w:t>
      </w:r>
      <w:r w:rsidR="00C466A1">
        <w:t xml:space="preserve"> et al.</w:t>
      </w:r>
      <w:r w:rsidR="004317C1" w:rsidRPr="004317C1">
        <w:t xml:space="preserve"> </w:t>
      </w:r>
      <w:r w:rsidR="004317C1">
        <w:t>(</w:t>
      </w:r>
      <w:r w:rsidR="004317C1" w:rsidRPr="004317C1">
        <w:t>2014</w:t>
      </w:r>
      <w:r w:rsidR="004317C1">
        <w:t>)</w:t>
      </w:r>
      <w:r w:rsidR="004317C1" w:rsidRPr="004317C1">
        <w:t xml:space="preserve"> y Roth</w:t>
      </w:r>
      <w:r w:rsidR="00C466A1">
        <w:t xml:space="preserve"> et al. </w:t>
      </w:r>
      <w:r w:rsidR="004317C1">
        <w:t>(</w:t>
      </w:r>
      <w:r w:rsidR="004317C1" w:rsidRPr="004317C1">
        <w:t>2014</w:t>
      </w:r>
      <w:r w:rsidR="004317C1">
        <w:t xml:space="preserve">), en los que </w:t>
      </w:r>
      <w:r w:rsidR="004317C1" w:rsidRPr="004317C1">
        <w:t>se demuestra la influencia del entorno socio-cultural sobre el miedo.</w:t>
      </w:r>
      <w:r w:rsidR="004317C1">
        <w:t xml:space="preserve"> </w:t>
      </w:r>
      <w:r>
        <w:t xml:space="preserve">En el Rendimiento, se dan </w:t>
      </w:r>
      <w:r w:rsidRPr="00037532">
        <w:t xml:space="preserve">niveles medios (bien de media). La materia en la que aparecen mejores resultados es en la 5 (en la que la nota media es notable). La materia 1 es en la que se registran los resultados más bajos. </w:t>
      </w:r>
      <w:r w:rsidR="00EB068C" w:rsidRPr="00037532">
        <w:t xml:space="preserve">La edad </w:t>
      </w:r>
      <w:r w:rsidR="00EB068C">
        <w:t>(etapa)</w:t>
      </w:r>
      <w:r w:rsidR="00EB068C" w:rsidRPr="00037532">
        <w:t xml:space="preserve"> influye, aunque sin un orden lógico.</w:t>
      </w:r>
      <w:r w:rsidR="00EB068C">
        <w:t xml:space="preserve"> </w:t>
      </w:r>
      <w:r w:rsidRPr="00037532">
        <w:t xml:space="preserve">El </w:t>
      </w:r>
      <w:r w:rsidR="00EB068C">
        <w:t xml:space="preserve">género </w:t>
      </w:r>
      <w:r w:rsidR="004A0634">
        <w:t>también influye, presentando las mujeres mejores resultados que los varones, tanto a nivel general, como en la gran mayoría de materias.</w:t>
      </w:r>
      <w:r w:rsidRPr="00037532">
        <w:t xml:space="preserve"> </w:t>
      </w:r>
      <w:r w:rsidR="004A0634">
        <w:t>L</w:t>
      </w:r>
      <w:r w:rsidRPr="00037532">
        <w:t xml:space="preserve">a cultura y el estatus socio económico y cultural </w:t>
      </w:r>
      <w:r w:rsidR="004A0634">
        <w:t xml:space="preserve">ejercen una importante influencia </w:t>
      </w:r>
      <w:r w:rsidRPr="00037532">
        <w:t>en las puntuaciones totales y en casi todas las materias, obteniendo l</w:t>
      </w:r>
      <w:r w:rsidR="004A0634">
        <w:t>os cristianos</w:t>
      </w:r>
      <w:r w:rsidRPr="00037532">
        <w:t xml:space="preserve"> y los niveles altos resultados superiores. </w:t>
      </w:r>
      <w:r w:rsidR="00130C17">
        <w:t>Para la cultura, r</w:t>
      </w:r>
      <w:r w:rsidR="00A91493" w:rsidRPr="00291EEC">
        <w:t xml:space="preserve">esultan importantes las diferencias en cuanto a la lengua materna entre musulmanes y cristianos para justificar estas diferencias. Esta explicación cobra más importancia si </w:t>
      </w:r>
      <w:r w:rsidR="00E43123">
        <w:t xml:space="preserve">se considera </w:t>
      </w:r>
      <w:r w:rsidR="00A91493" w:rsidRPr="00291EEC">
        <w:t>el trabajo llevado a cabo por Roa (2006) con alumnado perteneciente al mismo contexto.</w:t>
      </w:r>
      <w:r w:rsidR="00A91493">
        <w:t xml:space="preserve"> </w:t>
      </w:r>
      <w:r w:rsidR="00E43123">
        <w:t xml:space="preserve">Relacionado con esto, se comentan también </w:t>
      </w:r>
      <w:r w:rsidR="00326513">
        <w:t xml:space="preserve">las dificultades para la integración socio educativa (Martínez </w:t>
      </w:r>
      <w:r w:rsidR="00C466A1">
        <w:lastRenderedPageBreak/>
        <w:t>&amp;</w:t>
      </w:r>
      <w:r w:rsidR="00326513">
        <w:t xml:space="preserve"> Alfageme, 2004) y las diferencias de estatus socioeconómico y cultural (Hernández, Rodríguez </w:t>
      </w:r>
      <w:r w:rsidR="00C466A1">
        <w:t>&amp;</w:t>
      </w:r>
      <w:r w:rsidR="00326513">
        <w:t xml:space="preserve"> Moral, 2011) como importantes justificantes de estas diferencias significativas. </w:t>
      </w:r>
      <w:r w:rsidR="00E43123">
        <w:t xml:space="preserve">Esta </w:t>
      </w:r>
      <w:r w:rsidR="00326513">
        <w:t xml:space="preserve">diversidad encontrada en los núcleos familiares, con estilos de crianza distintos, junto con </w:t>
      </w:r>
      <w:r w:rsidR="00326513" w:rsidRPr="00031E84">
        <w:t xml:space="preserve">las </w:t>
      </w:r>
      <w:r w:rsidR="00326513">
        <w:t xml:space="preserve">importantes </w:t>
      </w:r>
      <w:r w:rsidR="00326513" w:rsidRPr="00031E84">
        <w:t xml:space="preserve">diferencias en </w:t>
      </w:r>
      <w:r w:rsidR="00326513">
        <w:t>l</w:t>
      </w:r>
      <w:r w:rsidR="00326513" w:rsidRPr="00031E84">
        <w:t>a lengua materna</w:t>
      </w:r>
      <w:r w:rsidR="00326513">
        <w:t xml:space="preserve"> (Roa, </w:t>
      </w:r>
      <w:r w:rsidR="00326513" w:rsidRPr="00031E84">
        <w:t xml:space="preserve">2006) entre </w:t>
      </w:r>
      <w:r w:rsidR="00326513">
        <w:t>ambas etnias, contribuyen a la aparición de problemas de integración socioeducativa del alumnado no autóctono. El contexto “autóctono” se mostraría como un impulso para el desarrollo socioafectivo. Ante esta situación, la interculturalidad se antoja necesaria aunque no suficiente para la progresiva eliminación de estas diferencias, convirtiendo ese contexto en “autóctono” para todos los grupos culturales.</w:t>
      </w:r>
      <w:r w:rsidR="00A91493">
        <w:t xml:space="preserve"> </w:t>
      </w:r>
      <w:r w:rsidR="00130C17">
        <w:t>Por otra parte, el estatus también se ha de tener en cuenta, pues</w:t>
      </w:r>
      <w:r w:rsidR="00130C17" w:rsidRPr="00130C17">
        <w:t xml:space="preserve"> </w:t>
      </w:r>
      <w:r w:rsidR="00130C17">
        <w:t xml:space="preserve">según el estudio de Alonso </w:t>
      </w:r>
      <w:r w:rsidR="00C466A1">
        <w:t>&amp;</w:t>
      </w:r>
      <w:r w:rsidR="00130C17">
        <w:t xml:space="preserve"> Román (2014), </w:t>
      </w:r>
      <w:r w:rsidR="00130C17" w:rsidRPr="00130C17">
        <w:t xml:space="preserve">el nivel </w:t>
      </w:r>
      <w:r w:rsidR="00130C17">
        <w:t xml:space="preserve">económico y </w:t>
      </w:r>
      <w:r w:rsidR="00130C17" w:rsidRPr="00130C17">
        <w:t>sociocultural correlaciona positivamente con el estilo educativo familiar, y éste, a su vez, con el nivel de autoestima mayor</w:t>
      </w:r>
      <w:r w:rsidR="00130C17">
        <w:t xml:space="preserve"> que repercute </w:t>
      </w:r>
      <w:r w:rsidR="00130C17" w:rsidRPr="00130C17">
        <w:t>en diferentes dimensiones de desarrollo: ajuste emocional, éxito social y académico</w:t>
      </w:r>
      <w:r w:rsidR="00130C17">
        <w:t xml:space="preserve">. </w:t>
      </w:r>
      <w:r w:rsidR="00E43123" w:rsidRPr="00E43123">
        <w:t xml:space="preserve">Existe interacción entre el miedo y el rendimiento total y en la mayoría de materias, que aumentan en los niveles menores de miedo. </w:t>
      </w:r>
      <w:r w:rsidR="00BF0BD9" w:rsidRPr="00BF0BD9">
        <w:t xml:space="preserve">De esta manera, se llega a comprobar como el miedo puede incidir, de manera evidente, en el desempeño </w:t>
      </w:r>
      <w:r w:rsidR="00BF0BD9">
        <w:t>académico</w:t>
      </w:r>
      <w:r w:rsidR="00BF0BD9" w:rsidRPr="00BF0BD9">
        <w:t xml:space="preserve"> del sujeto, así como en su interacción con el resto de personas. Es por ello, que esta emoción adquiere un carácter negativo, por lo que considerar y potenciar las competencias emocionales se antoja una medida necesaria para mejorar el desarrollo evolutivo del sujeto, especialmente entre los más jóvenes.</w:t>
      </w:r>
    </w:p>
    <w:p w:rsidR="00F115A1" w:rsidRDefault="00F015B8" w:rsidP="00A72028">
      <w:pPr>
        <w:tabs>
          <w:tab w:val="left" w:pos="6510"/>
        </w:tabs>
        <w:autoSpaceDE w:val="0"/>
        <w:autoSpaceDN w:val="0"/>
        <w:adjustRightInd w:val="0"/>
        <w:spacing w:line="360" w:lineRule="auto"/>
        <w:rPr>
          <w:rFonts w:ascii="Comic Sans MS" w:hAnsi="Comic Sans MS"/>
          <w:b/>
          <w:color w:val="000000"/>
          <w:sz w:val="20"/>
          <w:szCs w:val="20"/>
        </w:rPr>
      </w:pPr>
      <w:r>
        <w:rPr>
          <w:rFonts w:ascii="Comic Sans MS" w:hAnsi="Comic Sans MS"/>
          <w:b/>
          <w:color w:val="000000"/>
          <w:sz w:val="20"/>
          <w:szCs w:val="20"/>
        </w:rPr>
        <w:tab/>
      </w:r>
    </w:p>
    <w:p w:rsidR="000138C5" w:rsidRPr="004A1788" w:rsidRDefault="000138C5" w:rsidP="00A72028">
      <w:pPr>
        <w:autoSpaceDE w:val="0"/>
        <w:autoSpaceDN w:val="0"/>
        <w:adjustRightInd w:val="0"/>
        <w:spacing w:line="360" w:lineRule="auto"/>
        <w:jc w:val="both"/>
        <w:rPr>
          <w:b/>
          <w:color w:val="000000"/>
        </w:rPr>
      </w:pPr>
      <w:r w:rsidRPr="004A1788">
        <w:rPr>
          <w:b/>
          <w:color w:val="000000"/>
        </w:rPr>
        <w:t xml:space="preserve">Bibliografía: </w:t>
      </w:r>
    </w:p>
    <w:p w:rsidR="00130C17" w:rsidRPr="00FF16F3" w:rsidRDefault="00C466A1" w:rsidP="00A72028">
      <w:pPr>
        <w:autoSpaceDE w:val="0"/>
        <w:autoSpaceDN w:val="0"/>
        <w:adjustRightInd w:val="0"/>
        <w:spacing w:line="360" w:lineRule="auto"/>
        <w:ind w:left="567" w:hanging="567"/>
        <w:jc w:val="both"/>
      </w:pPr>
      <w:r>
        <w:t>Alonso, J. &amp;</w:t>
      </w:r>
      <w:r w:rsidR="00130C17" w:rsidRPr="00FF16F3">
        <w:t xml:space="preserve"> Román, J. M. (2014). Nivel sociocultural, prácticas educativas familiares y autoestima de los hijos en edades tempranas. </w:t>
      </w:r>
      <w:r w:rsidR="00130C17" w:rsidRPr="00FF16F3">
        <w:rPr>
          <w:i/>
        </w:rPr>
        <w:t>Revista de Investigación Educativa,</w:t>
      </w:r>
      <w:r w:rsidR="00130C17" w:rsidRPr="00FF16F3">
        <w:t xml:space="preserve"> 32</w:t>
      </w:r>
      <w:r>
        <w:t>(</w:t>
      </w:r>
      <w:r w:rsidR="00130C17" w:rsidRPr="00FF16F3">
        <w:t>1), 187-202.</w:t>
      </w:r>
    </w:p>
    <w:p w:rsidR="000138C5" w:rsidRPr="00FF16F3" w:rsidRDefault="000138C5" w:rsidP="00A72028">
      <w:pPr>
        <w:autoSpaceDE w:val="0"/>
        <w:autoSpaceDN w:val="0"/>
        <w:adjustRightInd w:val="0"/>
        <w:spacing w:line="360" w:lineRule="auto"/>
        <w:ind w:left="567" w:hanging="567"/>
        <w:jc w:val="both"/>
        <w:rPr>
          <w:lang w:val="en-US"/>
        </w:rPr>
      </w:pPr>
      <w:r w:rsidRPr="00FF16F3">
        <w:t xml:space="preserve">Ascensio, M., Vila, M. G., Robles-García, R., Páez, F., Fresán, A. </w:t>
      </w:r>
      <w:r w:rsidR="00C466A1">
        <w:t>&amp;</w:t>
      </w:r>
      <w:r w:rsidRPr="00FF16F3">
        <w:t xml:space="preserve"> Vázquez, L. (2012). Estudio de traducción, adaptación y evaluación psicométrica del Inventario de Miedos FSSC-II en una muestra de estudiantes de educación media superior. </w:t>
      </w:r>
      <w:r w:rsidRPr="00FF16F3">
        <w:rPr>
          <w:i/>
          <w:lang w:val="en-US"/>
        </w:rPr>
        <w:t>Salud Mental,</w:t>
      </w:r>
      <w:r w:rsidRPr="00FF16F3">
        <w:rPr>
          <w:lang w:val="en-US"/>
        </w:rPr>
        <w:t xml:space="preserve"> 35, 195-203.</w:t>
      </w:r>
    </w:p>
    <w:p w:rsidR="00BE0F0F" w:rsidRPr="00FF16F3" w:rsidRDefault="00BE0F0F" w:rsidP="00BE0F0F">
      <w:pPr>
        <w:spacing w:line="360" w:lineRule="auto"/>
        <w:ind w:left="720" w:hanging="720"/>
        <w:jc w:val="both"/>
        <w:rPr>
          <w:lang w:val="en-GB"/>
        </w:rPr>
      </w:pPr>
      <w:r w:rsidRPr="00FF16F3">
        <w:rPr>
          <w:lang w:val="en-US"/>
        </w:rPr>
        <w:t xml:space="preserve">Burnham, J. J. (2007). Children’s fears: A pre-9/11 and post −9/11 comparison using the American Fear Survey Schedule for Children (FSSC-AM). </w:t>
      </w:r>
      <w:r w:rsidRPr="00FF16F3">
        <w:rPr>
          <w:i/>
          <w:lang w:val="en-US"/>
        </w:rPr>
        <w:t>Journal of Counselling and Development,</w:t>
      </w:r>
      <w:r w:rsidRPr="00FF16F3">
        <w:rPr>
          <w:lang w:val="en-US"/>
        </w:rPr>
        <w:t xml:space="preserve"> 85, 461–466.</w:t>
      </w:r>
      <w:r w:rsidRPr="00FF16F3">
        <w:t xml:space="preserve"> </w:t>
      </w:r>
    </w:p>
    <w:p w:rsidR="000138C5" w:rsidRPr="00FF16F3" w:rsidRDefault="000138C5" w:rsidP="00A72028">
      <w:pPr>
        <w:autoSpaceDE w:val="0"/>
        <w:autoSpaceDN w:val="0"/>
        <w:adjustRightInd w:val="0"/>
        <w:spacing w:line="360" w:lineRule="auto"/>
        <w:ind w:left="567" w:hanging="567"/>
        <w:jc w:val="both"/>
        <w:rPr>
          <w:lang w:val="en-US"/>
        </w:rPr>
      </w:pPr>
      <w:r w:rsidRPr="00FF16F3">
        <w:rPr>
          <w:lang w:val="en-US"/>
        </w:rPr>
        <w:t xml:space="preserve">Burnham, J., Hooper, L. </w:t>
      </w:r>
      <w:r w:rsidR="00C466A1">
        <w:rPr>
          <w:lang w:val="en-US"/>
        </w:rPr>
        <w:t>&amp;</w:t>
      </w:r>
      <w:r w:rsidRPr="00FF16F3">
        <w:rPr>
          <w:lang w:val="en-US"/>
        </w:rPr>
        <w:t xml:space="preserve"> Ogorchock, H. (2011). Differences in the Fears of Elementary School Children in North and South America: A Cross-Cultural </w:t>
      </w:r>
      <w:r w:rsidRPr="00FF16F3">
        <w:rPr>
          <w:lang w:val="en-US"/>
        </w:rPr>
        <w:lastRenderedPageBreak/>
        <w:t xml:space="preserve">Comparison. </w:t>
      </w:r>
      <w:r w:rsidRPr="00FF16F3">
        <w:rPr>
          <w:i/>
          <w:lang w:val="en-US"/>
        </w:rPr>
        <w:t>International Journal for the Advancement of Counselling</w:t>
      </w:r>
      <w:r w:rsidR="00C466A1">
        <w:rPr>
          <w:lang w:val="en-US"/>
        </w:rPr>
        <w:t xml:space="preserve">, 33, 235–251. </w:t>
      </w:r>
      <w:r w:rsidRPr="00FF16F3">
        <w:rPr>
          <w:lang w:val="en-US"/>
        </w:rPr>
        <w:t xml:space="preserve">Recuperado </w:t>
      </w:r>
      <w:r w:rsidR="00C466A1">
        <w:rPr>
          <w:lang w:val="en-US"/>
        </w:rPr>
        <w:t xml:space="preserve">de </w:t>
      </w:r>
      <w:r w:rsidRPr="00FF16F3">
        <w:rPr>
          <w:lang w:val="en-US"/>
        </w:rPr>
        <w:t>http://link.springer.com/article/10.1007</w:t>
      </w:r>
      <w:r w:rsidR="006D552F">
        <w:rPr>
          <w:lang w:val="en-US"/>
        </w:rPr>
        <w:t>%2Fs10447-011-9131-7</w:t>
      </w:r>
    </w:p>
    <w:p w:rsidR="000138C5" w:rsidRPr="00FF16F3" w:rsidRDefault="006D552F" w:rsidP="00A72028">
      <w:pPr>
        <w:autoSpaceDE w:val="0"/>
        <w:autoSpaceDN w:val="0"/>
        <w:adjustRightInd w:val="0"/>
        <w:spacing w:line="360" w:lineRule="auto"/>
        <w:ind w:left="567" w:hanging="567"/>
        <w:jc w:val="both"/>
        <w:rPr>
          <w:lang w:val="en-US"/>
        </w:rPr>
      </w:pPr>
      <w:r>
        <w:rPr>
          <w:lang w:val="en-US"/>
        </w:rPr>
        <w:t>Burnham, J. J.</w:t>
      </w:r>
      <w:r w:rsidR="000138C5" w:rsidRPr="00FF16F3">
        <w:rPr>
          <w:lang w:val="en-US"/>
        </w:rPr>
        <w:t xml:space="preserve"> </w:t>
      </w:r>
      <w:r>
        <w:rPr>
          <w:lang w:val="en-US"/>
        </w:rPr>
        <w:t>&amp;</w:t>
      </w:r>
      <w:r w:rsidR="000138C5" w:rsidRPr="00FF16F3">
        <w:rPr>
          <w:lang w:val="en-US"/>
        </w:rPr>
        <w:t xml:space="preserve"> Lomax, R. (2009). Examining ethnicity and fears of children and adolescents in the United States: differences between White, African American, and Hispanic populations. </w:t>
      </w:r>
      <w:r w:rsidR="000138C5" w:rsidRPr="00FF16F3">
        <w:rPr>
          <w:i/>
          <w:lang w:val="en-US"/>
        </w:rPr>
        <w:t>Journal of Counselling and Development</w:t>
      </w:r>
      <w:r>
        <w:rPr>
          <w:lang w:val="en-US"/>
        </w:rPr>
        <w:t>, 87</w:t>
      </w:r>
      <w:r w:rsidR="000138C5" w:rsidRPr="00FF16F3">
        <w:rPr>
          <w:lang w:val="en-US"/>
        </w:rPr>
        <w:t>, 387–393.</w:t>
      </w:r>
    </w:p>
    <w:p w:rsidR="00086ACF" w:rsidRPr="00FF16F3" w:rsidRDefault="00086ACF" w:rsidP="00086ACF">
      <w:pPr>
        <w:autoSpaceDE w:val="0"/>
        <w:autoSpaceDN w:val="0"/>
        <w:adjustRightInd w:val="0"/>
        <w:spacing w:line="360" w:lineRule="auto"/>
        <w:ind w:left="567" w:hanging="567"/>
        <w:jc w:val="both"/>
        <w:rPr>
          <w:rFonts w:ascii="Comic Sans MS" w:hAnsi="Comic Sans MS"/>
          <w:b/>
          <w:color w:val="000000"/>
          <w:sz w:val="20"/>
          <w:szCs w:val="20"/>
        </w:rPr>
      </w:pPr>
      <w:r w:rsidRPr="00FF16F3">
        <w:t>García-García, M., Biencinto-Lópe</w:t>
      </w:r>
      <w:r w:rsidR="006D552F">
        <w:t>z, C., Carpintero-Molina, E., Nú</w:t>
      </w:r>
      <w:r w:rsidRPr="00FF16F3">
        <w:t xml:space="preserve">ñez-del-Río, M. C. </w:t>
      </w:r>
      <w:r w:rsidR="006D552F">
        <w:t>&amp;</w:t>
      </w:r>
      <w:r w:rsidRPr="00FF16F3">
        <w:t xml:space="preserve"> Arteaga-Martínez, B. (2013). Rendimiento en Matemáticas y actitud hacia la materia en centros inclusivos: estudio en la Comunidad de Madrid. </w:t>
      </w:r>
      <w:r w:rsidRPr="00FF16F3">
        <w:rPr>
          <w:i/>
        </w:rPr>
        <w:t>Revista de Investigación Educativa</w:t>
      </w:r>
      <w:r w:rsidRPr="00FF16F3">
        <w:t>, 31(1), 117-132.</w:t>
      </w:r>
    </w:p>
    <w:p w:rsidR="000138C5" w:rsidRPr="00FF16F3" w:rsidRDefault="000138C5" w:rsidP="00A72028">
      <w:pPr>
        <w:autoSpaceDE w:val="0"/>
        <w:autoSpaceDN w:val="0"/>
        <w:adjustRightInd w:val="0"/>
        <w:spacing w:line="360" w:lineRule="auto"/>
        <w:ind w:left="567" w:hanging="567"/>
        <w:jc w:val="both"/>
      </w:pPr>
      <w:r w:rsidRPr="00FF16F3">
        <w:t xml:space="preserve">Goleman, D. (1996). </w:t>
      </w:r>
      <w:r w:rsidRPr="00FF16F3">
        <w:rPr>
          <w:i/>
        </w:rPr>
        <w:t>Inteligencia Emocional.</w:t>
      </w:r>
      <w:r w:rsidRPr="00FF16F3">
        <w:t xml:space="preserve"> Barcelona: Kairós.</w:t>
      </w:r>
    </w:p>
    <w:p w:rsidR="000138C5" w:rsidRPr="00FF16F3" w:rsidRDefault="000138C5" w:rsidP="00A72028">
      <w:pPr>
        <w:autoSpaceDE w:val="0"/>
        <w:autoSpaceDN w:val="0"/>
        <w:adjustRightInd w:val="0"/>
        <w:spacing w:line="360" w:lineRule="auto"/>
        <w:ind w:left="567" w:hanging="567"/>
        <w:jc w:val="both"/>
        <w:rPr>
          <w:lang w:val="en-US"/>
        </w:rPr>
      </w:pPr>
      <w:r w:rsidRPr="00FF16F3">
        <w:t xml:space="preserve">Gómez-Castro, J. L. (1986). Rendimiento escolar y valores interpersonales: Análisis de resultados en E.G.B. con el cuestionario SIV de Leonardo V. Gordon. </w:t>
      </w:r>
      <w:r w:rsidRPr="00FF16F3">
        <w:rPr>
          <w:i/>
          <w:lang w:val="en-US"/>
        </w:rPr>
        <w:t>Bordón,</w:t>
      </w:r>
      <w:r w:rsidRPr="00FF16F3">
        <w:rPr>
          <w:lang w:val="en-US"/>
        </w:rPr>
        <w:t xml:space="preserve"> 262, 257-275.</w:t>
      </w:r>
    </w:p>
    <w:p w:rsidR="00BE0F0F" w:rsidRPr="00FF16F3" w:rsidRDefault="000138C5" w:rsidP="00BE0F0F">
      <w:pPr>
        <w:autoSpaceDE w:val="0"/>
        <w:autoSpaceDN w:val="0"/>
        <w:adjustRightInd w:val="0"/>
        <w:spacing w:line="360" w:lineRule="auto"/>
        <w:ind w:left="851" w:hanging="851"/>
        <w:jc w:val="both"/>
      </w:pPr>
      <w:r w:rsidRPr="00FF16F3">
        <w:rPr>
          <w:lang w:val="en-US"/>
        </w:rPr>
        <w:t xml:space="preserve">Hernández, E., Rodríguez, F. J. </w:t>
      </w:r>
      <w:r w:rsidR="006D552F">
        <w:rPr>
          <w:lang w:val="en-US"/>
        </w:rPr>
        <w:t>&amp;</w:t>
      </w:r>
      <w:r w:rsidRPr="00FF16F3">
        <w:rPr>
          <w:lang w:val="en-US"/>
        </w:rPr>
        <w:t xml:space="preserve"> Moral, M. V. (2011). </w:t>
      </w:r>
      <w:r w:rsidRPr="00FF16F3">
        <w:t xml:space="preserve">Adaptación escolar de la etnia gitana: relevancia de las variables psicosociales determinantes. </w:t>
      </w:r>
      <w:r w:rsidRPr="00FF16F3">
        <w:rPr>
          <w:i/>
        </w:rPr>
        <w:t xml:space="preserve">Apuntes de Psicología, </w:t>
      </w:r>
      <w:r w:rsidRPr="00FF16F3">
        <w:t>29(1), 87-105.</w:t>
      </w:r>
    </w:p>
    <w:p w:rsidR="00BE0F0F" w:rsidRPr="00FF16F3" w:rsidRDefault="00FC68C3" w:rsidP="00BE0F0F">
      <w:pPr>
        <w:autoSpaceDE w:val="0"/>
        <w:autoSpaceDN w:val="0"/>
        <w:adjustRightInd w:val="0"/>
        <w:spacing w:line="360" w:lineRule="auto"/>
        <w:ind w:left="851" w:hanging="851"/>
        <w:jc w:val="both"/>
      </w:pPr>
      <w:r>
        <w:t>Kushnir, J., Gothelf, D. &amp;</w:t>
      </w:r>
      <w:r w:rsidR="00BE0F0F" w:rsidRPr="00FF16F3">
        <w:t xml:space="preserve"> Sadeh, A. (2014). Nighttime fears of preschool children: A potential disposition marker for anxiety? </w:t>
      </w:r>
      <w:r w:rsidR="00BE0F0F" w:rsidRPr="00FF16F3">
        <w:rPr>
          <w:i/>
        </w:rPr>
        <w:t>Comprehensive Psychiatry</w:t>
      </w:r>
      <w:r w:rsidR="00BE0F0F" w:rsidRPr="00FF16F3">
        <w:t>, 55,  336–341.</w:t>
      </w:r>
    </w:p>
    <w:p w:rsidR="00BE0F0F" w:rsidRPr="00FF16F3" w:rsidRDefault="00FC68C3" w:rsidP="00BE0F0F">
      <w:pPr>
        <w:spacing w:line="360" w:lineRule="auto"/>
        <w:ind w:left="720" w:hanging="720"/>
        <w:jc w:val="both"/>
      </w:pPr>
      <w:r>
        <w:t>Martínez, M. &amp;</w:t>
      </w:r>
      <w:r w:rsidR="000138C5" w:rsidRPr="00FF16F3">
        <w:t xml:space="preserve"> Alfageme, A. (2004). Integración socioeducativa del alumno gitano en la escuela española. </w:t>
      </w:r>
      <w:r w:rsidR="000138C5" w:rsidRPr="00FF16F3">
        <w:rPr>
          <w:i/>
        </w:rPr>
        <w:t>Revista española de educación com</w:t>
      </w:r>
      <w:r>
        <w:rPr>
          <w:i/>
        </w:rPr>
        <w:t>parada,</w:t>
      </w:r>
      <w:r w:rsidR="000138C5" w:rsidRPr="00FF16F3">
        <w:rPr>
          <w:i/>
        </w:rPr>
        <w:t xml:space="preserve"> </w:t>
      </w:r>
      <w:r w:rsidR="000138C5" w:rsidRPr="00FF16F3">
        <w:t>10, 299-324.</w:t>
      </w:r>
    </w:p>
    <w:p w:rsidR="00BE0F0F" w:rsidRPr="00FF16F3" w:rsidRDefault="00BE0F0F" w:rsidP="00BE0F0F">
      <w:pPr>
        <w:spacing w:line="360" w:lineRule="auto"/>
        <w:ind w:left="720" w:hanging="720"/>
        <w:jc w:val="both"/>
      </w:pPr>
      <w:r w:rsidRPr="008C4857">
        <w:t>Matesanz, A. (2006). Datos para la adaptación castellan</w:t>
      </w:r>
      <w:r w:rsidR="00FC68C3" w:rsidRPr="008C4857">
        <w:t>a de la Escala de Temores (FSS),</w:t>
      </w:r>
      <w:r w:rsidRPr="008C4857">
        <w:t xml:space="preserve"> </w:t>
      </w:r>
      <w:r w:rsidRPr="008C4857">
        <w:rPr>
          <w:i/>
        </w:rPr>
        <w:t>Análisis y Modificación de Conducta</w:t>
      </w:r>
      <w:r w:rsidRPr="008C4857">
        <w:t>, 32</w:t>
      </w:r>
      <w:r w:rsidR="00280B1C" w:rsidRPr="008C4857">
        <w:t>(</w:t>
      </w:r>
      <w:r w:rsidRPr="008C4857">
        <w:t>144</w:t>
      </w:r>
      <w:r w:rsidR="00280B1C" w:rsidRPr="008C4857">
        <w:t>)</w:t>
      </w:r>
      <w:r w:rsidRPr="008C4857">
        <w:t>, 521-551.</w:t>
      </w:r>
    </w:p>
    <w:p w:rsidR="00E23945" w:rsidRDefault="000138C5" w:rsidP="00BE0F0F">
      <w:pPr>
        <w:autoSpaceDE w:val="0"/>
        <w:autoSpaceDN w:val="0"/>
        <w:adjustRightInd w:val="0"/>
        <w:spacing w:line="360" w:lineRule="auto"/>
        <w:ind w:left="567" w:hanging="567"/>
        <w:jc w:val="both"/>
      </w:pPr>
      <w:r w:rsidRPr="00E23945">
        <w:t>Méndez, F.X., Inglés, C.J., Hidalg</w:t>
      </w:r>
      <w:r w:rsidR="00B23464" w:rsidRPr="00E23945">
        <w:t>o, M.D., García-Fernández, J.M.</w:t>
      </w:r>
      <w:r w:rsidRPr="00E23945">
        <w:t xml:space="preserve"> </w:t>
      </w:r>
      <w:r w:rsidR="00B23464" w:rsidRPr="00E23945">
        <w:t>&amp;</w:t>
      </w:r>
      <w:r w:rsidRPr="00E23945">
        <w:t xml:space="preserve"> Quiles, M.J. (2003). Los miedos en la infancia y la adolescencia: un estudio descriptivo. </w:t>
      </w:r>
      <w:r w:rsidRPr="00E23945">
        <w:rPr>
          <w:i/>
        </w:rPr>
        <w:t>Revista Electrónica de Motivación y Emoción</w:t>
      </w:r>
      <w:r w:rsidRPr="00E23945">
        <w:t>, 6</w:t>
      </w:r>
      <w:r w:rsidR="007060EE" w:rsidRPr="00E23945">
        <w:t>(13)</w:t>
      </w:r>
      <w:r w:rsidR="002F3FDE" w:rsidRPr="00E23945">
        <w:t>, 23-31</w:t>
      </w:r>
      <w:r w:rsidRPr="00E23945">
        <w:t xml:space="preserve">. </w:t>
      </w:r>
    </w:p>
    <w:p w:rsidR="00BE0F0F" w:rsidRPr="00FF16F3" w:rsidRDefault="00BE0F0F" w:rsidP="00BE0F0F">
      <w:pPr>
        <w:autoSpaceDE w:val="0"/>
        <w:autoSpaceDN w:val="0"/>
        <w:adjustRightInd w:val="0"/>
        <w:spacing w:line="360" w:lineRule="auto"/>
        <w:ind w:left="567" w:hanging="567"/>
        <w:jc w:val="both"/>
      </w:pPr>
      <w:r w:rsidRPr="00FF16F3">
        <w:t xml:space="preserve">Miloyan, B., Bulley, A., Pachana, N. </w:t>
      </w:r>
      <w:r w:rsidR="00B23464">
        <w:t>&amp;</w:t>
      </w:r>
      <w:r w:rsidRPr="00FF16F3">
        <w:t xml:space="preserve"> Byrne, G. (2014). Social Phobia symptoms across the adult lifespan. </w:t>
      </w:r>
      <w:r w:rsidRPr="00FF16F3">
        <w:rPr>
          <w:i/>
        </w:rPr>
        <w:t>Journal of Affective Disorders</w:t>
      </w:r>
      <w:r w:rsidR="00B23464">
        <w:t>,</w:t>
      </w:r>
      <w:r w:rsidRPr="00FF16F3">
        <w:t xml:space="preserve"> 168, 86-90.</w:t>
      </w:r>
    </w:p>
    <w:p w:rsidR="00FF16F3" w:rsidRPr="00FF16F3" w:rsidRDefault="000138C5" w:rsidP="00970164">
      <w:pPr>
        <w:spacing w:line="360" w:lineRule="auto"/>
        <w:ind w:left="709" w:hanging="709"/>
        <w:jc w:val="both"/>
      </w:pPr>
      <w:r w:rsidRPr="00CC32F2">
        <w:t xml:space="preserve">Roa, J. M. (2006). Rendimiento escolar y “situación diglósica” en una muestra de escolares de educación primaria en Ceuta. </w:t>
      </w:r>
      <w:r w:rsidRPr="00CC32F2">
        <w:rPr>
          <w:i/>
        </w:rPr>
        <w:t>Revista Electrónica de Investigación  Educativa</w:t>
      </w:r>
      <w:r w:rsidRPr="00CC32F2">
        <w:t>, 8</w:t>
      </w:r>
      <w:r w:rsidR="00CC32F2" w:rsidRPr="00CC32F2">
        <w:t>(</w:t>
      </w:r>
      <w:r w:rsidRPr="00CC32F2">
        <w:t>1</w:t>
      </w:r>
      <w:r w:rsidR="00CC32F2" w:rsidRPr="00CC32F2">
        <w:t>), 1-15</w:t>
      </w:r>
      <w:r w:rsidRPr="00CC32F2">
        <w:t>.</w:t>
      </w:r>
      <w:r w:rsidR="00970164">
        <w:t xml:space="preserve"> Recuperado de http://redie.uabc.mx/vol8no1/contenido-roa.html</w:t>
      </w:r>
    </w:p>
    <w:p w:rsidR="00FF16F3" w:rsidRPr="00FF16F3" w:rsidRDefault="00FF16F3" w:rsidP="00FF16F3">
      <w:pPr>
        <w:spacing w:line="360" w:lineRule="auto"/>
        <w:ind w:left="709" w:hanging="709"/>
        <w:jc w:val="both"/>
      </w:pPr>
      <w:r w:rsidRPr="00FF16F3">
        <w:lastRenderedPageBreak/>
        <w:t>Roth, G., Benita, M.</w:t>
      </w:r>
      <w:r w:rsidR="00873630">
        <w:t>,</w:t>
      </w:r>
      <w:r w:rsidRPr="00FF16F3">
        <w:t xml:space="preserve"> Amrani, C., Shachar, B.</w:t>
      </w:r>
      <w:r w:rsidR="00873630">
        <w:t>,</w:t>
      </w:r>
      <w:r w:rsidRPr="00FF16F3">
        <w:t xml:space="preserve"> Asoulin, H., Moed, A., Bibi, U. </w:t>
      </w:r>
      <w:r w:rsidR="00873630">
        <w:t>&amp;</w:t>
      </w:r>
      <w:r w:rsidRPr="00FF16F3">
        <w:t xml:space="preserve"> Kanat-Maymon, </w:t>
      </w:r>
      <w:r w:rsidR="00873630">
        <w:t>Y. (2014).</w:t>
      </w:r>
      <w:r w:rsidR="00970164" w:rsidRPr="00970164">
        <w:t xml:space="preserve"> Integration of negative emotional experience versus suppression: Addressing the q</w:t>
      </w:r>
      <w:r w:rsidR="00970164">
        <w:t>uestion of adaptive functioning,</w:t>
      </w:r>
      <w:r w:rsidR="00873630">
        <w:t xml:space="preserve"> </w:t>
      </w:r>
      <w:r w:rsidR="00873630" w:rsidRPr="00873630">
        <w:rPr>
          <w:i/>
        </w:rPr>
        <w:t>Emotion,</w:t>
      </w:r>
      <w:r w:rsidR="00873630">
        <w:t xml:space="preserve"> </w:t>
      </w:r>
      <w:r w:rsidRPr="00FF16F3">
        <w:t>14</w:t>
      </w:r>
      <w:r w:rsidR="00873630">
        <w:t>(</w:t>
      </w:r>
      <w:r w:rsidRPr="00FF16F3">
        <w:t>5</w:t>
      </w:r>
      <w:r w:rsidR="00873630">
        <w:t>)</w:t>
      </w:r>
      <w:r w:rsidRPr="00FF16F3">
        <w:t>, 908–919.</w:t>
      </w:r>
    </w:p>
    <w:p w:rsidR="000138C5" w:rsidRPr="00FF16F3" w:rsidRDefault="000138C5" w:rsidP="00A72028">
      <w:pPr>
        <w:autoSpaceDE w:val="0"/>
        <w:autoSpaceDN w:val="0"/>
        <w:adjustRightInd w:val="0"/>
        <w:spacing w:line="360" w:lineRule="auto"/>
        <w:ind w:left="567" w:hanging="567"/>
        <w:jc w:val="both"/>
      </w:pPr>
      <w:r w:rsidRPr="00FF16F3">
        <w:rPr>
          <w:lang w:val="en-US"/>
        </w:rPr>
        <w:t xml:space="preserve">SPSS Inc. Released 2011. IBM SPSS Statistics for Windows, Version 20.0. </w:t>
      </w:r>
      <w:r w:rsidRPr="00FF16F3">
        <w:t>Armonk, NY: IBM Corp.</w:t>
      </w:r>
    </w:p>
    <w:p w:rsidR="000138C5" w:rsidRPr="004A1788" w:rsidRDefault="000138C5" w:rsidP="00A72028">
      <w:pPr>
        <w:autoSpaceDE w:val="0"/>
        <w:autoSpaceDN w:val="0"/>
        <w:adjustRightInd w:val="0"/>
        <w:spacing w:line="360" w:lineRule="auto"/>
        <w:ind w:left="567" w:hanging="567"/>
        <w:jc w:val="both"/>
      </w:pPr>
      <w:r w:rsidRPr="00FF16F3">
        <w:t xml:space="preserve">Sroufe, A. (2000). </w:t>
      </w:r>
      <w:r w:rsidRPr="00FF16F3">
        <w:rPr>
          <w:i/>
        </w:rPr>
        <w:t>Desarrollo Emocional: La Organización de la Vida Emocional en los primeros años</w:t>
      </w:r>
      <w:r w:rsidRPr="00FF16F3">
        <w:t>. México: Oxford University Pres</w:t>
      </w:r>
      <w:r w:rsidR="00873630">
        <w:t xml:space="preserve">s. </w:t>
      </w:r>
    </w:p>
    <w:sectPr w:rsidR="000138C5" w:rsidRPr="004A1788" w:rsidSect="00F023CE">
      <w:footerReference w:type="default" r:id="rId20"/>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7EF" w:rsidRDefault="000247EF" w:rsidP="00F865E4">
      <w:r>
        <w:separator/>
      </w:r>
    </w:p>
  </w:endnote>
  <w:endnote w:type="continuationSeparator" w:id="0">
    <w:p w:rsidR="000247EF" w:rsidRDefault="000247EF" w:rsidP="00F86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Palatino Linotype">
    <w:altName w:val="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98" w:rsidRDefault="00AF0E98">
    <w:pPr>
      <w:pStyle w:val="Piedepgina"/>
      <w:jc w:val="center"/>
    </w:pPr>
    <w:r>
      <w:fldChar w:fldCharType="begin"/>
    </w:r>
    <w:r>
      <w:instrText>PAGE   \* MERGEFORMAT</w:instrText>
    </w:r>
    <w:r>
      <w:fldChar w:fldCharType="separate"/>
    </w:r>
    <w:r w:rsidR="00960AD3">
      <w:rPr>
        <w:noProof/>
      </w:rPr>
      <w:t>1</w:t>
    </w:r>
    <w:r>
      <w:fldChar w:fldCharType="end"/>
    </w:r>
  </w:p>
  <w:p w:rsidR="00AF0E98" w:rsidRDefault="00AF0E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7EF" w:rsidRDefault="000247EF" w:rsidP="00F865E4">
      <w:r>
        <w:separator/>
      </w:r>
    </w:p>
  </w:footnote>
  <w:footnote w:type="continuationSeparator" w:id="0">
    <w:p w:rsidR="000247EF" w:rsidRDefault="000247EF" w:rsidP="00F865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in;height:3in" o:bullet="t"/>
    </w:pict>
  </w:numPicBullet>
  <w:numPicBullet w:numPicBulletId="1">
    <w:pict>
      <v:shape id="_x0000_i1032" type="#_x0000_t75" style="width:3in;height:3in" o:bullet="t"/>
    </w:pict>
  </w:numPicBullet>
  <w:numPicBullet w:numPicBulletId="2">
    <w:pict>
      <v:shape id="_x0000_i1033" type="#_x0000_t75" style="width:3in;height:3in" o:bullet="t"/>
    </w:pict>
  </w:numPicBullet>
  <w:numPicBullet w:numPicBulletId="3">
    <w:pict>
      <v:shape id="_x0000_i1034" type="#_x0000_t75" style="width:11.25pt;height:11.25pt" o:bullet="t">
        <v:imagedata r:id="rId1" o:title="BD14579_"/>
      </v:shape>
    </w:pict>
  </w:numPicBullet>
  <w:numPicBullet w:numPicBulletId="4">
    <w:pict>
      <v:shape id="_x0000_i1035" type="#_x0000_t75" style="width:11.25pt;height:11.25pt" o:bullet="t">
        <v:imagedata r:id="rId2" o:title="msoE139"/>
      </v:shape>
    </w:pict>
  </w:numPicBullet>
  <w:abstractNum w:abstractNumId="0">
    <w:nsid w:val="01DF05AF"/>
    <w:multiLevelType w:val="hybridMultilevel"/>
    <w:tmpl w:val="508A2D92"/>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
    <w:nsid w:val="076D095B"/>
    <w:multiLevelType w:val="hybridMultilevel"/>
    <w:tmpl w:val="1F64946C"/>
    <w:lvl w:ilvl="0" w:tplc="0C0A0005">
      <w:start w:val="1"/>
      <w:numFmt w:val="bullet"/>
      <w:lvlText w:val=""/>
      <w:lvlJc w:val="left"/>
      <w:pPr>
        <w:tabs>
          <w:tab w:val="num" w:pos="1428"/>
        </w:tabs>
        <w:ind w:left="1428" w:hanging="360"/>
      </w:pPr>
      <w:rPr>
        <w:rFonts w:ascii="Wingdings" w:hAnsi="Wingdings"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
    <w:nsid w:val="08B251F2"/>
    <w:multiLevelType w:val="hybridMultilevel"/>
    <w:tmpl w:val="E6446DE8"/>
    <w:lvl w:ilvl="0" w:tplc="38EAEABC">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3">
    <w:nsid w:val="0A9D5592"/>
    <w:multiLevelType w:val="hybridMultilevel"/>
    <w:tmpl w:val="1FAA44B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nsid w:val="0BB37411"/>
    <w:multiLevelType w:val="hybridMultilevel"/>
    <w:tmpl w:val="255EDA88"/>
    <w:lvl w:ilvl="0" w:tplc="0C0A000B">
      <w:start w:val="1"/>
      <w:numFmt w:val="bullet"/>
      <w:lvlText w:val=""/>
      <w:lvlJc w:val="left"/>
      <w:pPr>
        <w:tabs>
          <w:tab w:val="num" w:pos="1428"/>
        </w:tabs>
        <w:ind w:left="1428" w:hanging="360"/>
      </w:pPr>
      <w:rPr>
        <w:rFonts w:ascii="Wingdings" w:hAnsi="Wingdings" w:hint="default"/>
      </w:rPr>
    </w:lvl>
    <w:lvl w:ilvl="1" w:tplc="0C0A0003">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5">
    <w:nsid w:val="0E520F1B"/>
    <w:multiLevelType w:val="hybridMultilevel"/>
    <w:tmpl w:val="52865E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0F7D5D45"/>
    <w:multiLevelType w:val="hybridMultilevel"/>
    <w:tmpl w:val="A8428732"/>
    <w:lvl w:ilvl="0" w:tplc="11B82FF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0F711DF"/>
    <w:multiLevelType w:val="hybridMultilevel"/>
    <w:tmpl w:val="C0BCA364"/>
    <w:lvl w:ilvl="0" w:tplc="E66C5E26">
      <w:start w:val="1"/>
      <w:numFmt w:val="bullet"/>
      <w:lvlText w:val=""/>
      <w:lvlJc w:val="left"/>
      <w:pPr>
        <w:tabs>
          <w:tab w:val="num" w:pos="780"/>
        </w:tabs>
        <w:ind w:left="780" w:hanging="360"/>
      </w:pPr>
      <w:rPr>
        <w:rFonts w:ascii="Wingdings" w:hAnsi="Wingdings" w:hint="default"/>
        <w:lang w:val="en-GB"/>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start w:val="1"/>
      <w:numFmt w:val="bullet"/>
      <w:lvlText w:val=""/>
      <w:lvlJc w:val="left"/>
      <w:pPr>
        <w:tabs>
          <w:tab w:val="num" w:pos="6540"/>
        </w:tabs>
        <w:ind w:left="6540" w:hanging="360"/>
      </w:pPr>
      <w:rPr>
        <w:rFonts w:ascii="Wingdings" w:hAnsi="Wingdings" w:hint="default"/>
      </w:rPr>
    </w:lvl>
  </w:abstractNum>
  <w:abstractNum w:abstractNumId="8">
    <w:nsid w:val="13B94BE3"/>
    <w:multiLevelType w:val="hybridMultilevel"/>
    <w:tmpl w:val="A4DE7DFE"/>
    <w:lvl w:ilvl="0" w:tplc="E2BAC04C">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14702DE7"/>
    <w:multiLevelType w:val="hybridMultilevel"/>
    <w:tmpl w:val="6B5ACC26"/>
    <w:lvl w:ilvl="0" w:tplc="934E9C48">
      <w:start w:val="1"/>
      <w:numFmt w:val="bullet"/>
      <w:lvlText w:val=""/>
      <w:lvlPicBulletId w:val="3"/>
      <w:lvlJc w:val="left"/>
      <w:pPr>
        <w:tabs>
          <w:tab w:val="num" w:pos="3900"/>
        </w:tabs>
        <w:ind w:left="3900" w:hanging="360"/>
      </w:pPr>
      <w:rPr>
        <w:rFonts w:ascii="Symbol" w:hAnsi="Symbol" w:hint="default"/>
        <w:color w:val="auto"/>
      </w:rPr>
    </w:lvl>
    <w:lvl w:ilvl="1" w:tplc="0C0A0003" w:tentative="1">
      <w:start w:val="1"/>
      <w:numFmt w:val="bullet"/>
      <w:lvlText w:val="o"/>
      <w:lvlJc w:val="left"/>
      <w:pPr>
        <w:tabs>
          <w:tab w:val="num" w:pos="4620"/>
        </w:tabs>
        <w:ind w:left="4620" w:hanging="360"/>
      </w:pPr>
      <w:rPr>
        <w:rFonts w:ascii="Courier New" w:hAnsi="Courier New" w:cs="Courier New" w:hint="default"/>
      </w:rPr>
    </w:lvl>
    <w:lvl w:ilvl="2" w:tplc="0C0A0005" w:tentative="1">
      <w:start w:val="1"/>
      <w:numFmt w:val="bullet"/>
      <w:lvlText w:val=""/>
      <w:lvlJc w:val="left"/>
      <w:pPr>
        <w:tabs>
          <w:tab w:val="num" w:pos="5340"/>
        </w:tabs>
        <w:ind w:left="5340" w:hanging="360"/>
      </w:pPr>
      <w:rPr>
        <w:rFonts w:ascii="Wingdings" w:hAnsi="Wingdings" w:hint="default"/>
      </w:rPr>
    </w:lvl>
    <w:lvl w:ilvl="3" w:tplc="0C0A0001" w:tentative="1">
      <w:start w:val="1"/>
      <w:numFmt w:val="bullet"/>
      <w:lvlText w:val=""/>
      <w:lvlJc w:val="left"/>
      <w:pPr>
        <w:tabs>
          <w:tab w:val="num" w:pos="6060"/>
        </w:tabs>
        <w:ind w:left="6060" w:hanging="360"/>
      </w:pPr>
      <w:rPr>
        <w:rFonts w:ascii="Symbol" w:hAnsi="Symbol" w:hint="default"/>
      </w:rPr>
    </w:lvl>
    <w:lvl w:ilvl="4" w:tplc="0C0A0003" w:tentative="1">
      <w:start w:val="1"/>
      <w:numFmt w:val="bullet"/>
      <w:lvlText w:val="o"/>
      <w:lvlJc w:val="left"/>
      <w:pPr>
        <w:tabs>
          <w:tab w:val="num" w:pos="6780"/>
        </w:tabs>
        <w:ind w:left="6780" w:hanging="360"/>
      </w:pPr>
      <w:rPr>
        <w:rFonts w:ascii="Courier New" w:hAnsi="Courier New" w:cs="Courier New" w:hint="default"/>
      </w:rPr>
    </w:lvl>
    <w:lvl w:ilvl="5" w:tplc="0C0A0005" w:tentative="1">
      <w:start w:val="1"/>
      <w:numFmt w:val="bullet"/>
      <w:lvlText w:val=""/>
      <w:lvlJc w:val="left"/>
      <w:pPr>
        <w:tabs>
          <w:tab w:val="num" w:pos="7500"/>
        </w:tabs>
        <w:ind w:left="7500" w:hanging="360"/>
      </w:pPr>
      <w:rPr>
        <w:rFonts w:ascii="Wingdings" w:hAnsi="Wingdings" w:hint="default"/>
      </w:rPr>
    </w:lvl>
    <w:lvl w:ilvl="6" w:tplc="0C0A0001" w:tentative="1">
      <w:start w:val="1"/>
      <w:numFmt w:val="bullet"/>
      <w:lvlText w:val=""/>
      <w:lvlJc w:val="left"/>
      <w:pPr>
        <w:tabs>
          <w:tab w:val="num" w:pos="8220"/>
        </w:tabs>
        <w:ind w:left="8220" w:hanging="360"/>
      </w:pPr>
      <w:rPr>
        <w:rFonts w:ascii="Symbol" w:hAnsi="Symbol" w:hint="default"/>
      </w:rPr>
    </w:lvl>
    <w:lvl w:ilvl="7" w:tplc="0C0A0003" w:tentative="1">
      <w:start w:val="1"/>
      <w:numFmt w:val="bullet"/>
      <w:lvlText w:val="o"/>
      <w:lvlJc w:val="left"/>
      <w:pPr>
        <w:tabs>
          <w:tab w:val="num" w:pos="8940"/>
        </w:tabs>
        <w:ind w:left="8940" w:hanging="360"/>
      </w:pPr>
      <w:rPr>
        <w:rFonts w:ascii="Courier New" w:hAnsi="Courier New" w:cs="Courier New" w:hint="default"/>
      </w:rPr>
    </w:lvl>
    <w:lvl w:ilvl="8" w:tplc="0C0A0005" w:tentative="1">
      <w:start w:val="1"/>
      <w:numFmt w:val="bullet"/>
      <w:lvlText w:val=""/>
      <w:lvlJc w:val="left"/>
      <w:pPr>
        <w:tabs>
          <w:tab w:val="num" w:pos="9660"/>
        </w:tabs>
        <w:ind w:left="9660" w:hanging="360"/>
      </w:pPr>
      <w:rPr>
        <w:rFonts w:ascii="Wingdings" w:hAnsi="Wingdings" w:hint="default"/>
      </w:rPr>
    </w:lvl>
  </w:abstractNum>
  <w:abstractNum w:abstractNumId="10">
    <w:nsid w:val="19B56E18"/>
    <w:multiLevelType w:val="hybridMultilevel"/>
    <w:tmpl w:val="9AEE3AD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B">
      <w:start w:val="1"/>
      <w:numFmt w:val="bullet"/>
      <w:lvlText w:val=""/>
      <w:lvlJc w:val="left"/>
      <w:pPr>
        <w:ind w:left="6480" w:hanging="360"/>
      </w:pPr>
      <w:rPr>
        <w:rFonts w:ascii="Wingdings" w:hAnsi="Wingdings" w:hint="default"/>
      </w:rPr>
    </w:lvl>
    <w:lvl w:ilvl="8" w:tplc="0C0A0005" w:tentative="1">
      <w:start w:val="1"/>
      <w:numFmt w:val="bullet"/>
      <w:lvlText w:val=""/>
      <w:lvlJc w:val="left"/>
      <w:pPr>
        <w:ind w:left="7200" w:hanging="360"/>
      </w:pPr>
      <w:rPr>
        <w:rFonts w:ascii="Wingdings" w:hAnsi="Wingdings" w:hint="default"/>
      </w:rPr>
    </w:lvl>
  </w:abstractNum>
  <w:abstractNum w:abstractNumId="11">
    <w:nsid w:val="19C95B66"/>
    <w:multiLevelType w:val="hybridMultilevel"/>
    <w:tmpl w:val="46E88AA0"/>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12">
    <w:nsid w:val="1A0B44D6"/>
    <w:multiLevelType w:val="hybridMultilevel"/>
    <w:tmpl w:val="ECDEBAE8"/>
    <w:lvl w:ilvl="0" w:tplc="0C0A000F">
      <w:start w:val="1"/>
      <w:numFmt w:val="decimal"/>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B112D1"/>
    <w:multiLevelType w:val="hybridMultilevel"/>
    <w:tmpl w:val="0B66C9CE"/>
    <w:lvl w:ilvl="0" w:tplc="38EAEABC">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1FFE787F"/>
    <w:multiLevelType w:val="hybridMultilevel"/>
    <w:tmpl w:val="F2D0AD60"/>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237D1FDD"/>
    <w:multiLevelType w:val="hybridMultilevel"/>
    <w:tmpl w:val="4152782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45B7F03"/>
    <w:multiLevelType w:val="hybridMultilevel"/>
    <w:tmpl w:val="BE2E88B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24E657BC"/>
    <w:multiLevelType w:val="hybridMultilevel"/>
    <w:tmpl w:val="43322236"/>
    <w:lvl w:ilvl="0" w:tplc="0C0A000F">
      <w:start w:val="1"/>
      <w:numFmt w:val="decimal"/>
      <w:lvlText w:val="%1."/>
      <w:lvlJc w:val="left"/>
      <w:pPr>
        <w:tabs>
          <w:tab w:val="num" w:pos="795"/>
        </w:tabs>
        <w:ind w:left="795"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266060DB"/>
    <w:multiLevelType w:val="hybridMultilevel"/>
    <w:tmpl w:val="90CA020E"/>
    <w:lvl w:ilvl="0" w:tplc="0C0A000B">
      <w:start w:val="1"/>
      <w:numFmt w:val="bullet"/>
      <w:lvlText w:val=""/>
      <w:lvlJc w:val="left"/>
      <w:pPr>
        <w:ind w:left="3192" w:hanging="360"/>
      </w:pPr>
      <w:rPr>
        <w:rFonts w:ascii="Wingdings" w:hAnsi="Wingdings"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9">
    <w:nsid w:val="2B0B0C0D"/>
    <w:multiLevelType w:val="hybridMultilevel"/>
    <w:tmpl w:val="DB1C3D72"/>
    <w:lvl w:ilvl="0" w:tplc="99CA74F2">
      <w:start w:val="1"/>
      <w:numFmt w:val="lowerLetter"/>
      <w:lvlText w:val="%1."/>
      <w:lvlJc w:val="left"/>
      <w:pPr>
        <w:ind w:left="420" w:hanging="360"/>
      </w:pPr>
    </w:lvl>
    <w:lvl w:ilvl="1" w:tplc="0C0A0019">
      <w:start w:val="1"/>
      <w:numFmt w:val="lowerLetter"/>
      <w:lvlText w:val="%2."/>
      <w:lvlJc w:val="left"/>
      <w:pPr>
        <w:ind w:left="1140" w:hanging="360"/>
      </w:pPr>
    </w:lvl>
    <w:lvl w:ilvl="2" w:tplc="0C0A001B">
      <w:start w:val="1"/>
      <w:numFmt w:val="lowerRoman"/>
      <w:lvlText w:val="%3."/>
      <w:lvlJc w:val="right"/>
      <w:pPr>
        <w:ind w:left="1860" w:hanging="180"/>
      </w:pPr>
    </w:lvl>
    <w:lvl w:ilvl="3" w:tplc="0C0A000F">
      <w:start w:val="1"/>
      <w:numFmt w:val="decimal"/>
      <w:lvlText w:val="%4."/>
      <w:lvlJc w:val="left"/>
      <w:pPr>
        <w:ind w:left="2580" w:hanging="360"/>
      </w:pPr>
    </w:lvl>
    <w:lvl w:ilvl="4" w:tplc="0C0A0019">
      <w:start w:val="1"/>
      <w:numFmt w:val="lowerLetter"/>
      <w:lvlText w:val="%5."/>
      <w:lvlJc w:val="left"/>
      <w:pPr>
        <w:ind w:left="3300" w:hanging="360"/>
      </w:pPr>
    </w:lvl>
    <w:lvl w:ilvl="5" w:tplc="0C0A001B">
      <w:start w:val="1"/>
      <w:numFmt w:val="lowerRoman"/>
      <w:lvlText w:val="%6."/>
      <w:lvlJc w:val="right"/>
      <w:pPr>
        <w:ind w:left="4020" w:hanging="180"/>
      </w:pPr>
    </w:lvl>
    <w:lvl w:ilvl="6" w:tplc="0C0A000F">
      <w:start w:val="1"/>
      <w:numFmt w:val="decimal"/>
      <w:lvlText w:val="%7."/>
      <w:lvlJc w:val="left"/>
      <w:pPr>
        <w:ind w:left="4740" w:hanging="360"/>
      </w:pPr>
    </w:lvl>
    <w:lvl w:ilvl="7" w:tplc="0C0A0019">
      <w:start w:val="1"/>
      <w:numFmt w:val="lowerLetter"/>
      <w:lvlText w:val="%8."/>
      <w:lvlJc w:val="left"/>
      <w:pPr>
        <w:ind w:left="5460" w:hanging="360"/>
      </w:pPr>
    </w:lvl>
    <w:lvl w:ilvl="8" w:tplc="0C0A001B">
      <w:start w:val="1"/>
      <w:numFmt w:val="lowerRoman"/>
      <w:lvlText w:val="%9."/>
      <w:lvlJc w:val="right"/>
      <w:pPr>
        <w:ind w:left="6180" w:hanging="180"/>
      </w:pPr>
    </w:lvl>
  </w:abstractNum>
  <w:abstractNum w:abstractNumId="20">
    <w:nsid w:val="2F477CED"/>
    <w:multiLevelType w:val="hybridMultilevel"/>
    <w:tmpl w:val="E2AC9934"/>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30003EC1"/>
    <w:multiLevelType w:val="hybridMultilevel"/>
    <w:tmpl w:val="080297D4"/>
    <w:lvl w:ilvl="0" w:tplc="0C0A000F">
      <w:start w:val="1"/>
      <w:numFmt w:val="decimal"/>
      <w:lvlText w:val="%1."/>
      <w:lvlJc w:val="left"/>
      <w:pPr>
        <w:tabs>
          <w:tab w:val="num" w:pos="720"/>
        </w:tabs>
        <w:ind w:left="720" w:hanging="360"/>
      </w:pPr>
    </w:lvl>
    <w:lvl w:ilvl="1" w:tplc="C882A146">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35182646"/>
    <w:multiLevelType w:val="multilevel"/>
    <w:tmpl w:val="32ECE4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bullet"/>
      <w:lvlText w:val=""/>
      <w:lvlJc w:val="left"/>
      <w:pPr>
        <w:ind w:left="1800" w:hanging="1440"/>
      </w:pPr>
      <w:rPr>
        <w:rFonts w:ascii="Symbol" w:hAnsi="Symbol" w:hint="default"/>
      </w:rPr>
    </w:lvl>
    <w:lvl w:ilvl="7">
      <w:start w:val="1"/>
      <w:numFmt w:val="bullet"/>
      <w:lvlText w:val="o"/>
      <w:lvlJc w:val="left"/>
      <w:pPr>
        <w:ind w:left="1800" w:hanging="1440"/>
      </w:pPr>
      <w:rPr>
        <w:rFonts w:ascii="Courier New" w:hAnsi="Courier New" w:cs="Courier New" w:hint="default"/>
      </w:rPr>
    </w:lvl>
    <w:lvl w:ilvl="8">
      <w:start w:val="1"/>
      <w:numFmt w:val="decimal"/>
      <w:isLgl/>
      <w:lvlText w:val="%1.%2.%3.%4.%5.%6.%7.%8.%9."/>
      <w:lvlJc w:val="left"/>
      <w:pPr>
        <w:ind w:left="2160" w:hanging="1800"/>
      </w:pPr>
      <w:rPr>
        <w:rFonts w:hint="default"/>
      </w:rPr>
    </w:lvl>
  </w:abstractNum>
  <w:abstractNum w:abstractNumId="23">
    <w:nsid w:val="364A72D1"/>
    <w:multiLevelType w:val="hybridMultilevel"/>
    <w:tmpl w:val="008AED32"/>
    <w:lvl w:ilvl="0" w:tplc="0C0A000F">
      <w:start w:val="1"/>
      <w:numFmt w:val="decimal"/>
      <w:lvlText w:val="%1."/>
      <w:lvlJc w:val="left"/>
      <w:pPr>
        <w:tabs>
          <w:tab w:val="num" w:pos="1428"/>
        </w:tabs>
        <w:ind w:left="1428" w:hanging="360"/>
      </w:p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4">
    <w:nsid w:val="3874029B"/>
    <w:multiLevelType w:val="hybridMultilevel"/>
    <w:tmpl w:val="242E447E"/>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3A4F2AFB"/>
    <w:multiLevelType w:val="hybridMultilevel"/>
    <w:tmpl w:val="673CD790"/>
    <w:lvl w:ilvl="0" w:tplc="0C0A000B">
      <w:start w:val="1"/>
      <w:numFmt w:val="bullet"/>
      <w:lvlText w:val=""/>
      <w:lvlJc w:val="left"/>
      <w:pPr>
        <w:ind w:left="3192" w:hanging="360"/>
      </w:pPr>
      <w:rPr>
        <w:rFonts w:ascii="Wingdings" w:hAnsi="Wingdings" w:hint="default"/>
      </w:rPr>
    </w:lvl>
    <w:lvl w:ilvl="1" w:tplc="0C0A0003">
      <w:start w:val="1"/>
      <w:numFmt w:val="bullet"/>
      <w:lvlText w:val="o"/>
      <w:lvlJc w:val="left"/>
      <w:pPr>
        <w:ind w:left="3912" w:hanging="360"/>
      </w:pPr>
      <w:rPr>
        <w:rFonts w:ascii="Courier New" w:hAnsi="Courier New" w:cs="Courier New" w:hint="default"/>
      </w:rPr>
    </w:lvl>
    <w:lvl w:ilvl="2" w:tplc="0C0A0005">
      <w:start w:val="1"/>
      <w:numFmt w:val="bullet"/>
      <w:lvlText w:val=""/>
      <w:lvlJc w:val="left"/>
      <w:pPr>
        <w:ind w:left="4632" w:hanging="360"/>
      </w:pPr>
      <w:rPr>
        <w:rFonts w:ascii="Wingdings" w:hAnsi="Wingdings" w:hint="default"/>
      </w:rPr>
    </w:lvl>
    <w:lvl w:ilvl="3" w:tplc="0C0A0001">
      <w:start w:val="1"/>
      <w:numFmt w:val="bullet"/>
      <w:lvlText w:val=""/>
      <w:lvlJc w:val="left"/>
      <w:pPr>
        <w:ind w:left="5352" w:hanging="360"/>
      </w:pPr>
      <w:rPr>
        <w:rFonts w:ascii="Symbol" w:hAnsi="Symbol" w:hint="default"/>
      </w:rPr>
    </w:lvl>
    <w:lvl w:ilvl="4" w:tplc="0C0A0003">
      <w:start w:val="1"/>
      <w:numFmt w:val="bullet"/>
      <w:lvlText w:val="o"/>
      <w:lvlJc w:val="left"/>
      <w:pPr>
        <w:ind w:left="6072" w:hanging="360"/>
      </w:pPr>
      <w:rPr>
        <w:rFonts w:ascii="Courier New" w:hAnsi="Courier New" w:cs="Courier New" w:hint="default"/>
      </w:rPr>
    </w:lvl>
    <w:lvl w:ilvl="5" w:tplc="0C0A0005">
      <w:start w:val="1"/>
      <w:numFmt w:val="bullet"/>
      <w:lvlText w:val=""/>
      <w:lvlJc w:val="left"/>
      <w:pPr>
        <w:ind w:left="6792" w:hanging="360"/>
      </w:pPr>
      <w:rPr>
        <w:rFonts w:ascii="Wingdings" w:hAnsi="Wingdings" w:hint="default"/>
      </w:rPr>
    </w:lvl>
    <w:lvl w:ilvl="6" w:tplc="514C56A4">
      <w:start w:val="1"/>
      <w:numFmt w:val="decimal"/>
      <w:lvlText w:val="%7."/>
      <w:lvlJc w:val="left"/>
      <w:pPr>
        <w:ind w:left="7512" w:hanging="360"/>
      </w:pPr>
      <w:rPr>
        <w:rFonts w:hint="default"/>
        <w:b/>
      </w:rPr>
    </w:lvl>
    <w:lvl w:ilvl="7" w:tplc="0C0A0003">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26">
    <w:nsid w:val="3C8E4798"/>
    <w:multiLevelType w:val="hybridMultilevel"/>
    <w:tmpl w:val="C8AE6476"/>
    <w:lvl w:ilvl="0" w:tplc="38EAEABC">
      <w:start w:val="1"/>
      <w:numFmt w:val="bullet"/>
      <w:lvlText w:val=""/>
      <w:lvlJc w:val="left"/>
      <w:pPr>
        <w:tabs>
          <w:tab w:val="num" w:pos="2484"/>
        </w:tabs>
        <w:ind w:left="2484" w:hanging="360"/>
      </w:pPr>
      <w:rPr>
        <w:rFonts w:ascii="Symbol" w:hAnsi="Symbol"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7">
    <w:nsid w:val="41F46995"/>
    <w:multiLevelType w:val="hybridMultilevel"/>
    <w:tmpl w:val="91F60BC8"/>
    <w:lvl w:ilvl="0" w:tplc="0C0A0003">
      <w:start w:val="1"/>
      <w:numFmt w:val="bullet"/>
      <w:lvlText w:val="o"/>
      <w:lvlJc w:val="left"/>
      <w:pPr>
        <w:tabs>
          <w:tab w:val="num" w:pos="6732"/>
        </w:tabs>
        <w:ind w:left="6732" w:hanging="360"/>
      </w:pPr>
      <w:rPr>
        <w:rFonts w:ascii="Courier New" w:hAnsi="Courier New" w:cs="Courier New" w:hint="default"/>
      </w:rPr>
    </w:lvl>
    <w:lvl w:ilvl="1" w:tplc="0C0A0003" w:tentative="1">
      <w:start w:val="1"/>
      <w:numFmt w:val="bullet"/>
      <w:lvlText w:val="o"/>
      <w:lvlJc w:val="left"/>
      <w:pPr>
        <w:tabs>
          <w:tab w:val="num" w:pos="7452"/>
        </w:tabs>
        <w:ind w:left="7452" w:hanging="360"/>
      </w:pPr>
      <w:rPr>
        <w:rFonts w:ascii="Courier New" w:hAnsi="Courier New" w:cs="Courier New" w:hint="default"/>
      </w:rPr>
    </w:lvl>
    <w:lvl w:ilvl="2" w:tplc="0C0A0005" w:tentative="1">
      <w:start w:val="1"/>
      <w:numFmt w:val="bullet"/>
      <w:lvlText w:val=""/>
      <w:lvlJc w:val="left"/>
      <w:pPr>
        <w:tabs>
          <w:tab w:val="num" w:pos="8172"/>
        </w:tabs>
        <w:ind w:left="8172" w:hanging="360"/>
      </w:pPr>
      <w:rPr>
        <w:rFonts w:ascii="Wingdings" w:hAnsi="Wingdings" w:hint="default"/>
      </w:rPr>
    </w:lvl>
    <w:lvl w:ilvl="3" w:tplc="0C0A0001" w:tentative="1">
      <w:start w:val="1"/>
      <w:numFmt w:val="bullet"/>
      <w:lvlText w:val=""/>
      <w:lvlJc w:val="left"/>
      <w:pPr>
        <w:tabs>
          <w:tab w:val="num" w:pos="8892"/>
        </w:tabs>
        <w:ind w:left="8892" w:hanging="360"/>
      </w:pPr>
      <w:rPr>
        <w:rFonts w:ascii="Symbol" w:hAnsi="Symbol" w:hint="default"/>
      </w:rPr>
    </w:lvl>
    <w:lvl w:ilvl="4" w:tplc="0C0A0003" w:tentative="1">
      <w:start w:val="1"/>
      <w:numFmt w:val="bullet"/>
      <w:lvlText w:val="o"/>
      <w:lvlJc w:val="left"/>
      <w:pPr>
        <w:tabs>
          <w:tab w:val="num" w:pos="9612"/>
        </w:tabs>
        <w:ind w:left="9612" w:hanging="360"/>
      </w:pPr>
      <w:rPr>
        <w:rFonts w:ascii="Courier New" w:hAnsi="Courier New" w:cs="Courier New" w:hint="default"/>
      </w:rPr>
    </w:lvl>
    <w:lvl w:ilvl="5" w:tplc="0C0A0005" w:tentative="1">
      <w:start w:val="1"/>
      <w:numFmt w:val="bullet"/>
      <w:lvlText w:val=""/>
      <w:lvlJc w:val="left"/>
      <w:pPr>
        <w:tabs>
          <w:tab w:val="num" w:pos="10332"/>
        </w:tabs>
        <w:ind w:left="10332" w:hanging="360"/>
      </w:pPr>
      <w:rPr>
        <w:rFonts w:ascii="Wingdings" w:hAnsi="Wingdings" w:hint="default"/>
      </w:rPr>
    </w:lvl>
    <w:lvl w:ilvl="6" w:tplc="0C0A0001" w:tentative="1">
      <w:start w:val="1"/>
      <w:numFmt w:val="bullet"/>
      <w:lvlText w:val=""/>
      <w:lvlJc w:val="left"/>
      <w:pPr>
        <w:tabs>
          <w:tab w:val="num" w:pos="11052"/>
        </w:tabs>
        <w:ind w:left="11052" w:hanging="360"/>
      </w:pPr>
      <w:rPr>
        <w:rFonts w:ascii="Symbol" w:hAnsi="Symbol" w:hint="default"/>
      </w:rPr>
    </w:lvl>
    <w:lvl w:ilvl="7" w:tplc="0C0A0003" w:tentative="1">
      <w:start w:val="1"/>
      <w:numFmt w:val="bullet"/>
      <w:lvlText w:val="o"/>
      <w:lvlJc w:val="left"/>
      <w:pPr>
        <w:tabs>
          <w:tab w:val="num" w:pos="11772"/>
        </w:tabs>
        <w:ind w:left="11772" w:hanging="360"/>
      </w:pPr>
      <w:rPr>
        <w:rFonts w:ascii="Courier New" w:hAnsi="Courier New" w:cs="Courier New" w:hint="default"/>
      </w:rPr>
    </w:lvl>
    <w:lvl w:ilvl="8" w:tplc="0C0A0005" w:tentative="1">
      <w:start w:val="1"/>
      <w:numFmt w:val="bullet"/>
      <w:lvlText w:val=""/>
      <w:lvlJc w:val="left"/>
      <w:pPr>
        <w:tabs>
          <w:tab w:val="num" w:pos="12492"/>
        </w:tabs>
        <w:ind w:left="12492" w:hanging="360"/>
      </w:pPr>
      <w:rPr>
        <w:rFonts w:ascii="Wingdings" w:hAnsi="Wingdings" w:hint="default"/>
      </w:rPr>
    </w:lvl>
  </w:abstractNum>
  <w:abstractNum w:abstractNumId="28">
    <w:nsid w:val="47E272A5"/>
    <w:multiLevelType w:val="multilevel"/>
    <w:tmpl w:val="54CA31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484B1C49"/>
    <w:multiLevelType w:val="multilevel"/>
    <w:tmpl w:val="CA4AFFF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D9476AA"/>
    <w:multiLevelType w:val="hybridMultilevel"/>
    <w:tmpl w:val="BA40B4E0"/>
    <w:lvl w:ilvl="0" w:tplc="0C0A000F">
      <w:start w:val="1"/>
      <w:numFmt w:val="decimal"/>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3">
      <w:start w:val="1"/>
      <w:numFmt w:val="bullet"/>
      <w:lvlText w:val="o"/>
      <w:lvlJc w:val="left"/>
      <w:pPr>
        <w:tabs>
          <w:tab w:val="num" w:pos="5040"/>
        </w:tabs>
        <w:ind w:left="5040" w:hanging="360"/>
      </w:pPr>
      <w:rPr>
        <w:rFonts w:ascii="Courier New" w:hAnsi="Courier New" w:cs="Courier New" w:hint="default"/>
      </w:rPr>
    </w:lvl>
    <w:lvl w:ilvl="7" w:tplc="0C0A0019">
      <w:start w:val="1"/>
      <w:numFmt w:val="lowerLetter"/>
      <w:lvlText w:val="%8."/>
      <w:lvlJc w:val="left"/>
      <w:pPr>
        <w:tabs>
          <w:tab w:val="num" w:pos="5760"/>
        </w:tabs>
        <w:ind w:left="5760" w:hanging="360"/>
      </w:pPr>
    </w:lvl>
    <w:lvl w:ilvl="8" w:tplc="0C0A0005">
      <w:start w:val="1"/>
      <w:numFmt w:val="bullet"/>
      <w:lvlText w:val=""/>
      <w:lvlJc w:val="left"/>
      <w:pPr>
        <w:tabs>
          <w:tab w:val="num" w:pos="6660"/>
        </w:tabs>
        <w:ind w:left="6660" w:hanging="360"/>
      </w:pPr>
      <w:rPr>
        <w:rFonts w:ascii="Wingdings" w:hAnsi="Wingdings" w:hint="default"/>
      </w:rPr>
    </w:lvl>
  </w:abstractNum>
  <w:abstractNum w:abstractNumId="31">
    <w:nsid w:val="53262C91"/>
    <w:multiLevelType w:val="hybridMultilevel"/>
    <w:tmpl w:val="BFD87BD6"/>
    <w:lvl w:ilvl="0" w:tplc="0C0A000F">
      <w:start w:val="1"/>
      <w:numFmt w:val="decimal"/>
      <w:lvlText w:val="%1."/>
      <w:lvlJc w:val="left"/>
      <w:pPr>
        <w:tabs>
          <w:tab w:val="num" w:pos="795"/>
        </w:tabs>
        <w:ind w:left="795" w:hanging="360"/>
      </w:p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2">
    <w:nsid w:val="566F3B79"/>
    <w:multiLevelType w:val="hybridMultilevel"/>
    <w:tmpl w:val="8E083BA8"/>
    <w:lvl w:ilvl="0" w:tplc="0C0A000F">
      <w:start w:val="1"/>
      <w:numFmt w:val="decimal"/>
      <w:lvlText w:val="%1."/>
      <w:lvlJc w:val="left"/>
      <w:pPr>
        <w:tabs>
          <w:tab w:val="num" w:pos="795"/>
        </w:tabs>
        <w:ind w:left="795" w:hanging="360"/>
      </w:pPr>
    </w:lvl>
    <w:lvl w:ilvl="1" w:tplc="0C0A0019" w:tentative="1">
      <w:start w:val="1"/>
      <w:numFmt w:val="lowerLetter"/>
      <w:lvlText w:val="%2."/>
      <w:lvlJc w:val="left"/>
      <w:pPr>
        <w:tabs>
          <w:tab w:val="num" w:pos="1515"/>
        </w:tabs>
        <w:ind w:left="1515" w:hanging="360"/>
      </w:pPr>
    </w:lvl>
    <w:lvl w:ilvl="2" w:tplc="0C0A001B" w:tentative="1">
      <w:start w:val="1"/>
      <w:numFmt w:val="lowerRoman"/>
      <w:lvlText w:val="%3."/>
      <w:lvlJc w:val="right"/>
      <w:pPr>
        <w:tabs>
          <w:tab w:val="num" w:pos="2235"/>
        </w:tabs>
        <w:ind w:left="2235" w:hanging="180"/>
      </w:pPr>
    </w:lvl>
    <w:lvl w:ilvl="3" w:tplc="0C0A000F" w:tentative="1">
      <w:start w:val="1"/>
      <w:numFmt w:val="decimal"/>
      <w:lvlText w:val="%4."/>
      <w:lvlJc w:val="left"/>
      <w:pPr>
        <w:tabs>
          <w:tab w:val="num" w:pos="2955"/>
        </w:tabs>
        <w:ind w:left="2955" w:hanging="360"/>
      </w:pPr>
    </w:lvl>
    <w:lvl w:ilvl="4" w:tplc="0C0A0019" w:tentative="1">
      <w:start w:val="1"/>
      <w:numFmt w:val="lowerLetter"/>
      <w:lvlText w:val="%5."/>
      <w:lvlJc w:val="left"/>
      <w:pPr>
        <w:tabs>
          <w:tab w:val="num" w:pos="3675"/>
        </w:tabs>
        <w:ind w:left="3675" w:hanging="360"/>
      </w:pPr>
    </w:lvl>
    <w:lvl w:ilvl="5" w:tplc="0C0A001B" w:tentative="1">
      <w:start w:val="1"/>
      <w:numFmt w:val="lowerRoman"/>
      <w:lvlText w:val="%6."/>
      <w:lvlJc w:val="right"/>
      <w:pPr>
        <w:tabs>
          <w:tab w:val="num" w:pos="4395"/>
        </w:tabs>
        <w:ind w:left="4395" w:hanging="180"/>
      </w:pPr>
    </w:lvl>
    <w:lvl w:ilvl="6" w:tplc="0C0A000F" w:tentative="1">
      <w:start w:val="1"/>
      <w:numFmt w:val="decimal"/>
      <w:lvlText w:val="%7."/>
      <w:lvlJc w:val="left"/>
      <w:pPr>
        <w:tabs>
          <w:tab w:val="num" w:pos="5115"/>
        </w:tabs>
        <w:ind w:left="5115" w:hanging="360"/>
      </w:pPr>
    </w:lvl>
    <w:lvl w:ilvl="7" w:tplc="0C0A0019" w:tentative="1">
      <w:start w:val="1"/>
      <w:numFmt w:val="lowerLetter"/>
      <w:lvlText w:val="%8."/>
      <w:lvlJc w:val="left"/>
      <w:pPr>
        <w:tabs>
          <w:tab w:val="num" w:pos="5835"/>
        </w:tabs>
        <w:ind w:left="5835" w:hanging="360"/>
      </w:pPr>
    </w:lvl>
    <w:lvl w:ilvl="8" w:tplc="0C0A001B" w:tentative="1">
      <w:start w:val="1"/>
      <w:numFmt w:val="lowerRoman"/>
      <w:lvlText w:val="%9."/>
      <w:lvlJc w:val="right"/>
      <w:pPr>
        <w:tabs>
          <w:tab w:val="num" w:pos="6555"/>
        </w:tabs>
        <w:ind w:left="6555" w:hanging="180"/>
      </w:pPr>
    </w:lvl>
  </w:abstractNum>
  <w:abstractNum w:abstractNumId="33">
    <w:nsid w:val="56F37C6C"/>
    <w:multiLevelType w:val="hybridMultilevel"/>
    <w:tmpl w:val="329C0010"/>
    <w:lvl w:ilvl="0" w:tplc="8F74FC80">
      <w:start w:val="400"/>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5BD840C8"/>
    <w:multiLevelType w:val="multilevel"/>
    <w:tmpl w:val="079C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6211765E"/>
    <w:multiLevelType w:val="hybridMultilevel"/>
    <w:tmpl w:val="013CD3B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676A178D"/>
    <w:multiLevelType w:val="hybridMultilevel"/>
    <w:tmpl w:val="87A8D858"/>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6AF44FA1"/>
    <w:multiLevelType w:val="hybridMultilevel"/>
    <w:tmpl w:val="1C5444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6B0203C2"/>
    <w:multiLevelType w:val="hybridMultilevel"/>
    <w:tmpl w:val="A798E25A"/>
    <w:lvl w:ilvl="0" w:tplc="C882A146">
      <w:start w:val="1"/>
      <w:numFmt w:val="decimal"/>
      <w:lvlText w:val="%1."/>
      <w:lvlJc w:val="left"/>
      <w:pPr>
        <w:tabs>
          <w:tab w:val="num" w:pos="2484"/>
        </w:tabs>
        <w:ind w:left="2484" w:hanging="360"/>
      </w:pPr>
      <w:rPr>
        <w:rFonts w:hint="default"/>
      </w:rPr>
    </w:lvl>
    <w:lvl w:ilvl="1" w:tplc="0C0A0019" w:tentative="1">
      <w:start w:val="1"/>
      <w:numFmt w:val="lowerLetter"/>
      <w:lvlText w:val="%2."/>
      <w:lvlJc w:val="left"/>
      <w:pPr>
        <w:tabs>
          <w:tab w:val="num" w:pos="3204"/>
        </w:tabs>
        <w:ind w:left="3204" w:hanging="360"/>
      </w:pPr>
    </w:lvl>
    <w:lvl w:ilvl="2" w:tplc="0C0A001B" w:tentative="1">
      <w:start w:val="1"/>
      <w:numFmt w:val="lowerRoman"/>
      <w:lvlText w:val="%3."/>
      <w:lvlJc w:val="right"/>
      <w:pPr>
        <w:tabs>
          <w:tab w:val="num" w:pos="3924"/>
        </w:tabs>
        <w:ind w:left="3924" w:hanging="180"/>
      </w:pPr>
    </w:lvl>
    <w:lvl w:ilvl="3" w:tplc="0C0A000F" w:tentative="1">
      <w:start w:val="1"/>
      <w:numFmt w:val="decimal"/>
      <w:lvlText w:val="%4."/>
      <w:lvlJc w:val="left"/>
      <w:pPr>
        <w:tabs>
          <w:tab w:val="num" w:pos="4644"/>
        </w:tabs>
        <w:ind w:left="4644" w:hanging="360"/>
      </w:pPr>
    </w:lvl>
    <w:lvl w:ilvl="4" w:tplc="0C0A0019" w:tentative="1">
      <w:start w:val="1"/>
      <w:numFmt w:val="lowerLetter"/>
      <w:lvlText w:val="%5."/>
      <w:lvlJc w:val="left"/>
      <w:pPr>
        <w:tabs>
          <w:tab w:val="num" w:pos="5364"/>
        </w:tabs>
        <w:ind w:left="5364" w:hanging="360"/>
      </w:pPr>
    </w:lvl>
    <w:lvl w:ilvl="5" w:tplc="0C0A001B" w:tentative="1">
      <w:start w:val="1"/>
      <w:numFmt w:val="lowerRoman"/>
      <w:lvlText w:val="%6."/>
      <w:lvlJc w:val="right"/>
      <w:pPr>
        <w:tabs>
          <w:tab w:val="num" w:pos="6084"/>
        </w:tabs>
        <w:ind w:left="6084" w:hanging="180"/>
      </w:pPr>
    </w:lvl>
    <w:lvl w:ilvl="6" w:tplc="0C0A000F" w:tentative="1">
      <w:start w:val="1"/>
      <w:numFmt w:val="decimal"/>
      <w:lvlText w:val="%7."/>
      <w:lvlJc w:val="left"/>
      <w:pPr>
        <w:tabs>
          <w:tab w:val="num" w:pos="6804"/>
        </w:tabs>
        <w:ind w:left="6804" w:hanging="360"/>
      </w:pPr>
    </w:lvl>
    <w:lvl w:ilvl="7" w:tplc="0C0A0019" w:tentative="1">
      <w:start w:val="1"/>
      <w:numFmt w:val="lowerLetter"/>
      <w:lvlText w:val="%8."/>
      <w:lvlJc w:val="left"/>
      <w:pPr>
        <w:tabs>
          <w:tab w:val="num" w:pos="7524"/>
        </w:tabs>
        <w:ind w:left="7524" w:hanging="360"/>
      </w:pPr>
    </w:lvl>
    <w:lvl w:ilvl="8" w:tplc="0C0A001B" w:tentative="1">
      <w:start w:val="1"/>
      <w:numFmt w:val="lowerRoman"/>
      <w:lvlText w:val="%9."/>
      <w:lvlJc w:val="right"/>
      <w:pPr>
        <w:tabs>
          <w:tab w:val="num" w:pos="8244"/>
        </w:tabs>
        <w:ind w:left="8244" w:hanging="180"/>
      </w:pPr>
    </w:lvl>
  </w:abstractNum>
  <w:abstractNum w:abstractNumId="39">
    <w:nsid w:val="6DB1715D"/>
    <w:multiLevelType w:val="hybridMultilevel"/>
    <w:tmpl w:val="A7AA90BC"/>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0">
    <w:nsid w:val="70332B1E"/>
    <w:multiLevelType w:val="multilevel"/>
    <w:tmpl w:val="1B3AF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bullet"/>
      <w:lvlText w:val="o"/>
      <w:lvlJc w:val="left"/>
      <w:pPr>
        <w:tabs>
          <w:tab w:val="num" w:pos="5040"/>
        </w:tabs>
        <w:ind w:left="5040" w:hanging="360"/>
      </w:pPr>
      <w:rPr>
        <w:rFonts w:ascii="Courier New" w:hAnsi="Courier New" w:cs="Courier New"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3A847F4"/>
    <w:multiLevelType w:val="multilevel"/>
    <w:tmpl w:val="013CD3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nsid w:val="74AC3466"/>
    <w:multiLevelType w:val="hybridMultilevel"/>
    <w:tmpl w:val="B10492B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nsid w:val="7A612EA7"/>
    <w:multiLevelType w:val="hybridMultilevel"/>
    <w:tmpl w:val="8B6056F2"/>
    <w:lvl w:ilvl="0" w:tplc="0C0A0007">
      <w:start w:val="1"/>
      <w:numFmt w:val="bullet"/>
      <w:lvlText w:val=""/>
      <w:lvlPicBulletId w:val="4"/>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num w:numId="1">
    <w:abstractNumId w:val="8"/>
  </w:num>
  <w:num w:numId="2">
    <w:abstractNumId w:val="35"/>
  </w:num>
  <w:num w:numId="3">
    <w:abstractNumId w:val="41"/>
  </w:num>
  <w:num w:numId="4">
    <w:abstractNumId w:val="29"/>
  </w:num>
  <w:num w:numId="5">
    <w:abstractNumId w:val="34"/>
  </w:num>
  <w:num w:numId="6">
    <w:abstractNumId w:val="37"/>
  </w:num>
  <w:num w:numId="7">
    <w:abstractNumId w:val="33"/>
  </w:num>
  <w:num w:numId="8">
    <w:abstractNumId w:val="6"/>
  </w:num>
  <w:num w:numId="9">
    <w:abstractNumId w:val="30"/>
  </w:num>
  <w:num w:numId="10">
    <w:abstractNumId w:val="40"/>
  </w:num>
  <w:num w:numId="11">
    <w:abstractNumId w:val="21"/>
  </w:num>
  <w:num w:numId="12">
    <w:abstractNumId w:val="28"/>
  </w:num>
  <w:num w:numId="13">
    <w:abstractNumId w:val="3"/>
  </w:num>
  <w:num w:numId="14">
    <w:abstractNumId w:val="15"/>
  </w:num>
  <w:num w:numId="15">
    <w:abstractNumId w:val="22"/>
  </w:num>
  <w:num w:numId="16">
    <w:abstractNumId w:val="20"/>
  </w:num>
  <w:num w:numId="17">
    <w:abstractNumId w:val="2"/>
  </w:num>
  <w:num w:numId="18">
    <w:abstractNumId w:val="27"/>
  </w:num>
  <w:num w:numId="19">
    <w:abstractNumId w:val="32"/>
  </w:num>
  <w:num w:numId="20">
    <w:abstractNumId w:val="31"/>
  </w:num>
  <w:num w:numId="21">
    <w:abstractNumId w:val="36"/>
  </w:num>
  <w:num w:numId="22">
    <w:abstractNumId w:val="13"/>
  </w:num>
  <w:num w:numId="23">
    <w:abstractNumId w:val="23"/>
  </w:num>
  <w:num w:numId="24">
    <w:abstractNumId w:val="38"/>
  </w:num>
  <w:num w:numId="25">
    <w:abstractNumId w:val="1"/>
  </w:num>
  <w:num w:numId="26">
    <w:abstractNumId w:val="11"/>
  </w:num>
  <w:num w:numId="27">
    <w:abstractNumId w:val="16"/>
  </w:num>
  <w:num w:numId="28">
    <w:abstractNumId w:val="7"/>
  </w:num>
  <w:num w:numId="29">
    <w:abstractNumId w:val="26"/>
  </w:num>
  <w:num w:numId="30">
    <w:abstractNumId w:val="17"/>
  </w:num>
  <w:num w:numId="31">
    <w:abstractNumId w:val="42"/>
  </w:num>
  <w:num w:numId="32">
    <w:abstractNumId w:val="14"/>
  </w:num>
  <w:num w:numId="33">
    <w:abstractNumId w:val="24"/>
  </w:num>
  <w:num w:numId="34">
    <w:abstractNumId w:val="39"/>
  </w:num>
  <w:num w:numId="35">
    <w:abstractNumId w:val="4"/>
  </w:num>
  <w:num w:numId="36">
    <w:abstractNumId w:val="10"/>
  </w:num>
  <w:num w:numId="37">
    <w:abstractNumId w:val="9"/>
  </w:num>
  <w:num w:numId="38">
    <w:abstractNumId w:val="12"/>
  </w:num>
  <w:num w:numId="39">
    <w:abstractNumId w:val="25"/>
  </w:num>
  <w:num w:numId="40">
    <w:abstractNumId w:val="0"/>
  </w:num>
  <w:num w:numId="4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5"/>
  </w:num>
  <w:num w:numId="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84"/>
    <w:rsid w:val="00001B75"/>
    <w:rsid w:val="00002B4E"/>
    <w:rsid w:val="00005014"/>
    <w:rsid w:val="00005878"/>
    <w:rsid w:val="00006106"/>
    <w:rsid w:val="00007916"/>
    <w:rsid w:val="00012964"/>
    <w:rsid w:val="000136F2"/>
    <w:rsid w:val="000138C5"/>
    <w:rsid w:val="00013A2F"/>
    <w:rsid w:val="00013E7B"/>
    <w:rsid w:val="00014253"/>
    <w:rsid w:val="00014826"/>
    <w:rsid w:val="000148CD"/>
    <w:rsid w:val="000165D2"/>
    <w:rsid w:val="00016B00"/>
    <w:rsid w:val="000175B8"/>
    <w:rsid w:val="00020AFA"/>
    <w:rsid w:val="000247EF"/>
    <w:rsid w:val="00025E11"/>
    <w:rsid w:val="00030105"/>
    <w:rsid w:val="00030EFE"/>
    <w:rsid w:val="00031319"/>
    <w:rsid w:val="000322A3"/>
    <w:rsid w:val="00035780"/>
    <w:rsid w:val="000373E6"/>
    <w:rsid w:val="00037532"/>
    <w:rsid w:val="000378C2"/>
    <w:rsid w:val="00040BCE"/>
    <w:rsid w:val="000448E5"/>
    <w:rsid w:val="0004510D"/>
    <w:rsid w:val="00045D9E"/>
    <w:rsid w:val="00047658"/>
    <w:rsid w:val="00050F04"/>
    <w:rsid w:val="00051645"/>
    <w:rsid w:val="0005195C"/>
    <w:rsid w:val="00052C66"/>
    <w:rsid w:val="000545BC"/>
    <w:rsid w:val="00055792"/>
    <w:rsid w:val="00056450"/>
    <w:rsid w:val="000568BA"/>
    <w:rsid w:val="00056F5C"/>
    <w:rsid w:val="0006049B"/>
    <w:rsid w:val="000639F4"/>
    <w:rsid w:val="0006577C"/>
    <w:rsid w:val="00066C07"/>
    <w:rsid w:val="00066C58"/>
    <w:rsid w:val="00066CBE"/>
    <w:rsid w:val="0007064B"/>
    <w:rsid w:val="0007160D"/>
    <w:rsid w:val="000719A7"/>
    <w:rsid w:val="00071D36"/>
    <w:rsid w:val="00073475"/>
    <w:rsid w:val="00074EFB"/>
    <w:rsid w:val="000756AF"/>
    <w:rsid w:val="0007624D"/>
    <w:rsid w:val="00076502"/>
    <w:rsid w:val="00077DB0"/>
    <w:rsid w:val="0008045C"/>
    <w:rsid w:val="00080EF1"/>
    <w:rsid w:val="00081143"/>
    <w:rsid w:val="000821A8"/>
    <w:rsid w:val="000827B7"/>
    <w:rsid w:val="00082D30"/>
    <w:rsid w:val="000832AC"/>
    <w:rsid w:val="00084935"/>
    <w:rsid w:val="000850C8"/>
    <w:rsid w:val="00085A00"/>
    <w:rsid w:val="00086ACF"/>
    <w:rsid w:val="00090D80"/>
    <w:rsid w:val="00094495"/>
    <w:rsid w:val="00094E21"/>
    <w:rsid w:val="00094E93"/>
    <w:rsid w:val="00095B9C"/>
    <w:rsid w:val="000A0AD6"/>
    <w:rsid w:val="000A1650"/>
    <w:rsid w:val="000A25CB"/>
    <w:rsid w:val="000A3263"/>
    <w:rsid w:val="000A4A5D"/>
    <w:rsid w:val="000A5B58"/>
    <w:rsid w:val="000A65DB"/>
    <w:rsid w:val="000B0F78"/>
    <w:rsid w:val="000B16CB"/>
    <w:rsid w:val="000B29E1"/>
    <w:rsid w:val="000B32C7"/>
    <w:rsid w:val="000B4BA3"/>
    <w:rsid w:val="000B5432"/>
    <w:rsid w:val="000B72ED"/>
    <w:rsid w:val="000B739E"/>
    <w:rsid w:val="000C032F"/>
    <w:rsid w:val="000C398E"/>
    <w:rsid w:val="000C496C"/>
    <w:rsid w:val="000C5271"/>
    <w:rsid w:val="000C5C65"/>
    <w:rsid w:val="000C686E"/>
    <w:rsid w:val="000C70A0"/>
    <w:rsid w:val="000D074E"/>
    <w:rsid w:val="000D23E9"/>
    <w:rsid w:val="000D23ED"/>
    <w:rsid w:val="000D253B"/>
    <w:rsid w:val="000D2A6D"/>
    <w:rsid w:val="000D41E4"/>
    <w:rsid w:val="000D5C35"/>
    <w:rsid w:val="000E0745"/>
    <w:rsid w:val="000E0EA2"/>
    <w:rsid w:val="000E14FC"/>
    <w:rsid w:val="000E2070"/>
    <w:rsid w:val="000E3E0B"/>
    <w:rsid w:val="000E3E8D"/>
    <w:rsid w:val="000E46B3"/>
    <w:rsid w:val="000E4759"/>
    <w:rsid w:val="000E580F"/>
    <w:rsid w:val="000E5833"/>
    <w:rsid w:val="000F0436"/>
    <w:rsid w:val="000F31D4"/>
    <w:rsid w:val="000F33AA"/>
    <w:rsid w:val="000F57D8"/>
    <w:rsid w:val="000F7D62"/>
    <w:rsid w:val="00104086"/>
    <w:rsid w:val="0010677D"/>
    <w:rsid w:val="001110FB"/>
    <w:rsid w:val="00111723"/>
    <w:rsid w:val="00112A12"/>
    <w:rsid w:val="00112B48"/>
    <w:rsid w:val="0011553E"/>
    <w:rsid w:val="001155F1"/>
    <w:rsid w:val="00115A83"/>
    <w:rsid w:val="0011784E"/>
    <w:rsid w:val="00117971"/>
    <w:rsid w:val="00117A63"/>
    <w:rsid w:val="00117C1E"/>
    <w:rsid w:val="0012114E"/>
    <w:rsid w:val="0012210A"/>
    <w:rsid w:val="001233B5"/>
    <w:rsid w:val="00123A09"/>
    <w:rsid w:val="00123C85"/>
    <w:rsid w:val="00124A28"/>
    <w:rsid w:val="00130C17"/>
    <w:rsid w:val="00131657"/>
    <w:rsid w:val="001347D3"/>
    <w:rsid w:val="001349E3"/>
    <w:rsid w:val="00134F33"/>
    <w:rsid w:val="00135871"/>
    <w:rsid w:val="00136C97"/>
    <w:rsid w:val="00137150"/>
    <w:rsid w:val="00140577"/>
    <w:rsid w:val="00144913"/>
    <w:rsid w:val="00145B1B"/>
    <w:rsid w:val="0014654D"/>
    <w:rsid w:val="00146F19"/>
    <w:rsid w:val="00154DF0"/>
    <w:rsid w:val="00155BE1"/>
    <w:rsid w:val="00155D60"/>
    <w:rsid w:val="00156371"/>
    <w:rsid w:val="00160209"/>
    <w:rsid w:val="001610EE"/>
    <w:rsid w:val="0016203E"/>
    <w:rsid w:val="001626E8"/>
    <w:rsid w:val="00167C88"/>
    <w:rsid w:val="00175A8E"/>
    <w:rsid w:val="001777CD"/>
    <w:rsid w:val="00181A94"/>
    <w:rsid w:val="001820DE"/>
    <w:rsid w:val="00183A17"/>
    <w:rsid w:val="001851BA"/>
    <w:rsid w:val="001875D2"/>
    <w:rsid w:val="00187C1A"/>
    <w:rsid w:val="00187F2D"/>
    <w:rsid w:val="00191DF1"/>
    <w:rsid w:val="00193D33"/>
    <w:rsid w:val="0019745C"/>
    <w:rsid w:val="00197ABA"/>
    <w:rsid w:val="001A148B"/>
    <w:rsid w:val="001A1ECE"/>
    <w:rsid w:val="001A2A8C"/>
    <w:rsid w:val="001A2CA8"/>
    <w:rsid w:val="001A3FDA"/>
    <w:rsid w:val="001A4289"/>
    <w:rsid w:val="001A4D76"/>
    <w:rsid w:val="001A606B"/>
    <w:rsid w:val="001A653B"/>
    <w:rsid w:val="001B0568"/>
    <w:rsid w:val="001B0E00"/>
    <w:rsid w:val="001B37E8"/>
    <w:rsid w:val="001B45C7"/>
    <w:rsid w:val="001B479B"/>
    <w:rsid w:val="001B6DB6"/>
    <w:rsid w:val="001B7DE8"/>
    <w:rsid w:val="001C0030"/>
    <w:rsid w:val="001C08D3"/>
    <w:rsid w:val="001C11C3"/>
    <w:rsid w:val="001C1ECC"/>
    <w:rsid w:val="001C4B23"/>
    <w:rsid w:val="001C61F4"/>
    <w:rsid w:val="001D091C"/>
    <w:rsid w:val="001D26EA"/>
    <w:rsid w:val="001D2A7C"/>
    <w:rsid w:val="001D3607"/>
    <w:rsid w:val="001D5031"/>
    <w:rsid w:val="001D52A3"/>
    <w:rsid w:val="001D5FE7"/>
    <w:rsid w:val="001E023F"/>
    <w:rsid w:val="001E3D21"/>
    <w:rsid w:val="001E4D1D"/>
    <w:rsid w:val="001E50F7"/>
    <w:rsid w:val="001E5801"/>
    <w:rsid w:val="001E5836"/>
    <w:rsid w:val="001F1E79"/>
    <w:rsid w:val="001F3B1C"/>
    <w:rsid w:val="001F43FC"/>
    <w:rsid w:val="001F5041"/>
    <w:rsid w:val="001F7298"/>
    <w:rsid w:val="00200B3B"/>
    <w:rsid w:val="00201F7E"/>
    <w:rsid w:val="00202341"/>
    <w:rsid w:val="00204596"/>
    <w:rsid w:val="00205782"/>
    <w:rsid w:val="002060E7"/>
    <w:rsid w:val="0020752A"/>
    <w:rsid w:val="00207F45"/>
    <w:rsid w:val="00212490"/>
    <w:rsid w:val="0021304C"/>
    <w:rsid w:val="002133E4"/>
    <w:rsid w:val="00213579"/>
    <w:rsid w:val="002155D0"/>
    <w:rsid w:val="00217806"/>
    <w:rsid w:val="00221F3E"/>
    <w:rsid w:val="0022201C"/>
    <w:rsid w:val="00222488"/>
    <w:rsid w:val="00222A76"/>
    <w:rsid w:val="00222D1D"/>
    <w:rsid w:val="002241BD"/>
    <w:rsid w:val="002244FD"/>
    <w:rsid w:val="0022481E"/>
    <w:rsid w:val="00224C07"/>
    <w:rsid w:val="002250D1"/>
    <w:rsid w:val="00225485"/>
    <w:rsid w:val="00226A61"/>
    <w:rsid w:val="00226BF0"/>
    <w:rsid w:val="002272F8"/>
    <w:rsid w:val="00231054"/>
    <w:rsid w:val="00232093"/>
    <w:rsid w:val="00233C61"/>
    <w:rsid w:val="00233F9B"/>
    <w:rsid w:val="00234FC2"/>
    <w:rsid w:val="00242637"/>
    <w:rsid w:val="00242D81"/>
    <w:rsid w:val="00245DAB"/>
    <w:rsid w:val="00247CE8"/>
    <w:rsid w:val="002518BB"/>
    <w:rsid w:val="0025325D"/>
    <w:rsid w:val="00254889"/>
    <w:rsid w:val="00260F46"/>
    <w:rsid w:val="00263FC9"/>
    <w:rsid w:val="00264D12"/>
    <w:rsid w:val="002662FC"/>
    <w:rsid w:val="00271246"/>
    <w:rsid w:val="0027142C"/>
    <w:rsid w:val="0027173D"/>
    <w:rsid w:val="0027202D"/>
    <w:rsid w:val="0027508A"/>
    <w:rsid w:val="002769E0"/>
    <w:rsid w:val="00276EAB"/>
    <w:rsid w:val="00280B1C"/>
    <w:rsid w:val="002828CA"/>
    <w:rsid w:val="00282A19"/>
    <w:rsid w:val="00282C30"/>
    <w:rsid w:val="00283D5A"/>
    <w:rsid w:val="00285439"/>
    <w:rsid w:val="0028611D"/>
    <w:rsid w:val="00287216"/>
    <w:rsid w:val="002877B4"/>
    <w:rsid w:val="00290363"/>
    <w:rsid w:val="0029111F"/>
    <w:rsid w:val="00291EEC"/>
    <w:rsid w:val="002933E9"/>
    <w:rsid w:val="0029758B"/>
    <w:rsid w:val="002A127F"/>
    <w:rsid w:val="002A292F"/>
    <w:rsid w:val="002A295D"/>
    <w:rsid w:val="002A57FA"/>
    <w:rsid w:val="002A5C3F"/>
    <w:rsid w:val="002A5FFB"/>
    <w:rsid w:val="002A6F4A"/>
    <w:rsid w:val="002A70C3"/>
    <w:rsid w:val="002B08FC"/>
    <w:rsid w:val="002C1734"/>
    <w:rsid w:val="002C447A"/>
    <w:rsid w:val="002C5F6E"/>
    <w:rsid w:val="002C7BA9"/>
    <w:rsid w:val="002D0CF6"/>
    <w:rsid w:val="002D644D"/>
    <w:rsid w:val="002D7B03"/>
    <w:rsid w:val="002E1E1D"/>
    <w:rsid w:val="002E3815"/>
    <w:rsid w:val="002F0391"/>
    <w:rsid w:val="002F3FDE"/>
    <w:rsid w:val="002F4F5E"/>
    <w:rsid w:val="002F5F45"/>
    <w:rsid w:val="002F62FA"/>
    <w:rsid w:val="00300591"/>
    <w:rsid w:val="003007E7"/>
    <w:rsid w:val="00300B5E"/>
    <w:rsid w:val="003013DF"/>
    <w:rsid w:val="0030284F"/>
    <w:rsid w:val="00302A2E"/>
    <w:rsid w:val="0030332D"/>
    <w:rsid w:val="0030688A"/>
    <w:rsid w:val="00306CEA"/>
    <w:rsid w:val="0030732A"/>
    <w:rsid w:val="00310D90"/>
    <w:rsid w:val="00311F34"/>
    <w:rsid w:val="003131DD"/>
    <w:rsid w:val="00313C5A"/>
    <w:rsid w:val="00316F6C"/>
    <w:rsid w:val="0031790A"/>
    <w:rsid w:val="00320ED8"/>
    <w:rsid w:val="00321223"/>
    <w:rsid w:val="00322050"/>
    <w:rsid w:val="003227E4"/>
    <w:rsid w:val="00322E68"/>
    <w:rsid w:val="00323161"/>
    <w:rsid w:val="00324DFA"/>
    <w:rsid w:val="00326513"/>
    <w:rsid w:val="00330690"/>
    <w:rsid w:val="003311E9"/>
    <w:rsid w:val="003323A0"/>
    <w:rsid w:val="003335AA"/>
    <w:rsid w:val="00334168"/>
    <w:rsid w:val="00335057"/>
    <w:rsid w:val="00335658"/>
    <w:rsid w:val="00337CCD"/>
    <w:rsid w:val="003426AF"/>
    <w:rsid w:val="0034302F"/>
    <w:rsid w:val="00343CFF"/>
    <w:rsid w:val="00344883"/>
    <w:rsid w:val="00345D03"/>
    <w:rsid w:val="00347783"/>
    <w:rsid w:val="003502F7"/>
    <w:rsid w:val="003505B2"/>
    <w:rsid w:val="003538E2"/>
    <w:rsid w:val="00354702"/>
    <w:rsid w:val="003553C0"/>
    <w:rsid w:val="00355AC2"/>
    <w:rsid w:val="003573D3"/>
    <w:rsid w:val="00360ACE"/>
    <w:rsid w:val="00360E14"/>
    <w:rsid w:val="00362F80"/>
    <w:rsid w:val="00364BD5"/>
    <w:rsid w:val="0036593C"/>
    <w:rsid w:val="00367162"/>
    <w:rsid w:val="00367CCC"/>
    <w:rsid w:val="00367F71"/>
    <w:rsid w:val="00370C34"/>
    <w:rsid w:val="00371237"/>
    <w:rsid w:val="00372590"/>
    <w:rsid w:val="00373529"/>
    <w:rsid w:val="00375722"/>
    <w:rsid w:val="00377D2B"/>
    <w:rsid w:val="00380D90"/>
    <w:rsid w:val="003818B6"/>
    <w:rsid w:val="003852FD"/>
    <w:rsid w:val="00385FF6"/>
    <w:rsid w:val="00387C88"/>
    <w:rsid w:val="003913A4"/>
    <w:rsid w:val="0039163D"/>
    <w:rsid w:val="00392084"/>
    <w:rsid w:val="00395BE7"/>
    <w:rsid w:val="003A0102"/>
    <w:rsid w:val="003A0AC2"/>
    <w:rsid w:val="003A4060"/>
    <w:rsid w:val="003A41D8"/>
    <w:rsid w:val="003A5C6E"/>
    <w:rsid w:val="003A65A1"/>
    <w:rsid w:val="003B0860"/>
    <w:rsid w:val="003B10C4"/>
    <w:rsid w:val="003B1ACB"/>
    <w:rsid w:val="003B5859"/>
    <w:rsid w:val="003B5ACF"/>
    <w:rsid w:val="003B6940"/>
    <w:rsid w:val="003C1424"/>
    <w:rsid w:val="003C210E"/>
    <w:rsid w:val="003C2D84"/>
    <w:rsid w:val="003C4897"/>
    <w:rsid w:val="003C7737"/>
    <w:rsid w:val="003D340E"/>
    <w:rsid w:val="003D385F"/>
    <w:rsid w:val="003D5668"/>
    <w:rsid w:val="003E051D"/>
    <w:rsid w:val="003E0585"/>
    <w:rsid w:val="003E21BC"/>
    <w:rsid w:val="003E321B"/>
    <w:rsid w:val="003E3923"/>
    <w:rsid w:val="003E3ADE"/>
    <w:rsid w:val="003E3E48"/>
    <w:rsid w:val="003E407F"/>
    <w:rsid w:val="003E4AD5"/>
    <w:rsid w:val="003E52E7"/>
    <w:rsid w:val="003E579B"/>
    <w:rsid w:val="003E65AA"/>
    <w:rsid w:val="003E724E"/>
    <w:rsid w:val="003F102B"/>
    <w:rsid w:val="003F17C7"/>
    <w:rsid w:val="003F22FE"/>
    <w:rsid w:val="003F2E57"/>
    <w:rsid w:val="003F5D97"/>
    <w:rsid w:val="003F641B"/>
    <w:rsid w:val="003F6997"/>
    <w:rsid w:val="003F6B15"/>
    <w:rsid w:val="00402331"/>
    <w:rsid w:val="00403A93"/>
    <w:rsid w:val="00404E2A"/>
    <w:rsid w:val="00405679"/>
    <w:rsid w:val="0040628A"/>
    <w:rsid w:val="00407E8E"/>
    <w:rsid w:val="00407FF8"/>
    <w:rsid w:val="0041039F"/>
    <w:rsid w:val="004115F9"/>
    <w:rsid w:val="00411897"/>
    <w:rsid w:val="00412860"/>
    <w:rsid w:val="0041372B"/>
    <w:rsid w:val="0041429D"/>
    <w:rsid w:val="00417532"/>
    <w:rsid w:val="00417AF3"/>
    <w:rsid w:val="00421390"/>
    <w:rsid w:val="00421C14"/>
    <w:rsid w:val="00421DA5"/>
    <w:rsid w:val="004225E8"/>
    <w:rsid w:val="00422BDC"/>
    <w:rsid w:val="00422E42"/>
    <w:rsid w:val="00423053"/>
    <w:rsid w:val="0042422F"/>
    <w:rsid w:val="00424FE1"/>
    <w:rsid w:val="004250ED"/>
    <w:rsid w:val="00425202"/>
    <w:rsid w:val="0042531A"/>
    <w:rsid w:val="004256C1"/>
    <w:rsid w:val="004257FF"/>
    <w:rsid w:val="00425F31"/>
    <w:rsid w:val="004260DD"/>
    <w:rsid w:val="00431634"/>
    <w:rsid w:val="004317C1"/>
    <w:rsid w:val="00431B4B"/>
    <w:rsid w:val="004324FC"/>
    <w:rsid w:val="004328A1"/>
    <w:rsid w:val="00432EBE"/>
    <w:rsid w:val="00433B10"/>
    <w:rsid w:val="00434B09"/>
    <w:rsid w:val="00434F53"/>
    <w:rsid w:val="004362C5"/>
    <w:rsid w:val="004417D3"/>
    <w:rsid w:val="00441E09"/>
    <w:rsid w:val="00442B9D"/>
    <w:rsid w:val="00442F2D"/>
    <w:rsid w:val="00443B0F"/>
    <w:rsid w:val="004468A6"/>
    <w:rsid w:val="00447E3C"/>
    <w:rsid w:val="00450925"/>
    <w:rsid w:val="0045092C"/>
    <w:rsid w:val="00450EDE"/>
    <w:rsid w:val="00452BE3"/>
    <w:rsid w:val="004541AF"/>
    <w:rsid w:val="0045615F"/>
    <w:rsid w:val="00456FF6"/>
    <w:rsid w:val="00465C1E"/>
    <w:rsid w:val="00466C9C"/>
    <w:rsid w:val="00472A19"/>
    <w:rsid w:val="0047377C"/>
    <w:rsid w:val="00474A2C"/>
    <w:rsid w:val="00474BFC"/>
    <w:rsid w:val="00475077"/>
    <w:rsid w:val="00475396"/>
    <w:rsid w:val="00476104"/>
    <w:rsid w:val="0047622C"/>
    <w:rsid w:val="0047701A"/>
    <w:rsid w:val="00480B7D"/>
    <w:rsid w:val="0048190A"/>
    <w:rsid w:val="0048485B"/>
    <w:rsid w:val="00486907"/>
    <w:rsid w:val="00486D95"/>
    <w:rsid w:val="00486DDA"/>
    <w:rsid w:val="00487C15"/>
    <w:rsid w:val="0049116C"/>
    <w:rsid w:val="00492A4B"/>
    <w:rsid w:val="00493298"/>
    <w:rsid w:val="00493F82"/>
    <w:rsid w:val="00494348"/>
    <w:rsid w:val="00494E11"/>
    <w:rsid w:val="00495936"/>
    <w:rsid w:val="00497830"/>
    <w:rsid w:val="00497D31"/>
    <w:rsid w:val="00497D49"/>
    <w:rsid w:val="004A03A3"/>
    <w:rsid w:val="004A0634"/>
    <w:rsid w:val="004A4654"/>
    <w:rsid w:val="004A4CDC"/>
    <w:rsid w:val="004A536D"/>
    <w:rsid w:val="004A6141"/>
    <w:rsid w:val="004A7D64"/>
    <w:rsid w:val="004B2E98"/>
    <w:rsid w:val="004B4155"/>
    <w:rsid w:val="004B45BB"/>
    <w:rsid w:val="004C1347"/>
    <w:rsid w:val="004C3106"/>
    <w:rsid w:val="004C3812"/>
    <w:rsid w:val="004C7C57"/>
    <w:rsid w:val="004D0AD5"/>
    <w:rsid w:val="004D154B"/>
    <w:rsid w:val="004D3E01"/>
    <w:rsid w:val="004D4239"/>
    <w:rsid w:val="004D42A8"/>
    <w:rsid w:val="004D601C"/>
    <w:rsid w:val="004D60A8"/>
    <w:rsid w:val="004D6DAF"/>
    <w:rsid w:val="004E071F"/>
    <w:rsid w:val="004E0FEC"/>
    <w:rsid w:val="004E3672"/>
    <w:rsid w:val="004E5B8B"/>
    <w:rsid w:val="004E790D"/>
    <w:rsid w:val="004E7949"/>
    <w:rsid w:val="004F0442"/>
    <w:rsid w:val="004F1DE3"/>
    <w:rsid w:val="004F328E"/>
    <w:rsid w:val="004F5A03"/>
    <w:rsid w:val="00500DA3"/>
    <w:rsid w:val="0050126A"/>
    <w:rsid w:val="0050279E"/>
    <w:rsid w:val="005030E1"/>
    <w:rsid w:val="005035D8"/>
    <w:rsid w:val="005048FD"/>
    <w:rsid w:val="00504B4A"/>
    <w:rsid w:val="00504EE1"/>
    <w:rsid w:val="005075E5"/>
    <w:rsid w:val="00510287"/>
    <w:rsid w:val="00510303"/>
    <w:rsid w:val="005113CE"/>
    <w:rsid w:val="00512A17"/>
    <w:rsid w:val="00512B7E"/>
    <w:rsid w:val="005153B3"/>
    <w:rsid w:val="0051778E"/>
    <w:rsid w:val="0052033C"/>
    <w:rsid w:val="005206C6"/>
    <w:rsid w:val="005240BB"/>
    <w:rsid w:val="00524EC0"/>
    <w:rsid w:val="00525082"/>
    <w:rsid w:val="00526DFC"/>
    <w:rsid w:val="00530AB6"/>
    <w:rsid w:val="00531EA6"/>
    <w:rsid w:val="005334EF"/>
    <w:rsid w:val="00533844"/>
    <w:rsid w:val="00534226"/>
    <w:rsid w:val="00534A29"/>
    <w:rsid w:val="00540C49"/>
    <w:rsid w:val="00541D95"/>
    <w:rsid w:val="00542B48"/>
    <w:rsid w:val="00543AB4"/>
    <w:rsid w:val="00543CBF"/>
    <w:rsid w:val="00543FC1"/>
    <w:rsid w:val="005474C2"/>
    <w:rsid w:val="00550564"/>
    <w:rsid w:val="005507A8"/>
    <w:rsid w:val="00550DFC"/>
    <w:rsid w:val="00551141"/>
    <w:rsid w:val="005522E5"/>
    <w:rsid w:val="00553026"/>
    <w:rsid w:val="00554695"/>
    <w:rsid w:val="005556F6"/>
    <w:rsid w:val="00555C0C"/>
    <w:rsid w:val="00555DDA"/>
    <w:rsid w:val="00557F36"/>
    <w:rsid w:val="005616F3"/>
    <w:rsid w:val="005629C8"/>
    <w:rsid w:val="005651DA"/>
    <w:rsid w:val="005656CF"/>
    <w:rsid w:val="00565F06"/>
    <w:rsid w:val="00565F30"/>
    <w:rsid w:val="00573BD6"/>
    <w:rsid w:val="00576A5C"/>
    <w:rsid w:val="00576BE5"/>
    <w:rsid w:val="00577EA4"/>
    <w:rsid w:val="00581AC6"/>
    <w:rsid w:val="00583CDE"/>
    <w:rsid w:val="005846F9"/>
    <w:rsid w:val="00584713"/>
    <w:rsid w:val="00584DAF"/>
    <w:rsid w:val="00586F96"/>
    <w:rsid w:val="00591227"/>
    <w:rsid w:val="00595305"/>
    <w:rsid w:val="00596C7E"/>
    <w:rsid w:val="005A140B"/>
    <w:rsid w:val="005A2B45"/>
    <w:rsid w:val="005A36E9"/>
    <w:rsid w:val="005A37DC"/>
    <w:rsid w:val="005A40A6"/>
    <w:rsid w:val="005A593F"/>
    <w:rsid w:val="005A702C"/>
    <w:rsid w:val="005A7CA4"/>
    <w:rsid w:val="005A7F7F"/>
    <w:rsid w:val="005B0147"/>
    <w:rsid w:val="005B0CC2"/>
    <w:rsid w:val="005B0DB4"/>
    <w:rsid w:val="005B214E"/>
    <w:rsid w:val="005B4EA9"/>
    <w:rsid w:val="005B56B3"/>
    <w:rsid w:val="005B7A8B"/>
    <w:rsid w:val="005B7FDD"/>
    <w:rsid w:val="005C1584"/>
    <w:rsid w:val="005C1A3B"/>
    <w:rsid w:val="005C1FAB"/>
    <w:rsid w:val="005C228C"/>
    <w:rsid w:val="005C3D27"/>
    <w:rsid w:val="005C452F"/>
    <w:rsid w:val="005C5B5A"/>
    <w:rsid w:val="005C6507"/>
    <w:rsid w:val="005C768D"/>
    <w:rsid w:val="005C7F9F"/>
    <w:rsid w:val="005D391C"/>
    <w:rsid w:val="005D4030"/>
    <w:rsid w:val="005D5F1D"/>
    <w:rsid w:val="005D7514"/>
    <w:rsid w:val="005D7688"/>
    <w:rsid w:val="005E06FF"/>
    <w:rsid w:val="005E0763"/>
    <w:rsid w:val="005E117F"/>
    <w:rsid w:val="005E441F"/>
    <w:rsid w:val="005E4AD6"/>
    <w:rsid w:val="005E6AC8"/>
    <w:rsid w:val="005E7777"/>
    <w:rsid w:val="005F1281"/>
    <w:rsid w:val="005F1B1E"/>
    <w:rsid w:val="005F361D"/>
    <w:rsid w:val="005F44FA"/>
    <w:rsid w:val="005F58CD"/>
    <w:rsid w:val="005F5C7D"/>
    <w:rsid w:val="005F6574"/>
    <w:rsid w:val="00600618"/>
    <w:rsid w:val="00600DBE"/>
    <w:rsid w:val="006063EE"/>
    <w:rsid w:val="00606B2A"/>
    <w:rsid w:val="00606EF3"/>
    <w:rsid w:val="00607072"/>
    <w:rsid w:val="00611B5D"/>
    <w:rsid w:val="00612C04"/>
    <w:rsid w:val="00612CD9"/>
    <w:rsid w:val="00613F54"/>
    <w:rsid w:val="00615671"/>
    <w:rsid w:val="00615CEF"/>
    <w:rsid w:val="00616053"/>
    <w:rsid w:val="006175F6"/>
    <w:rsid w:val="006231F0"/>
    <w:rsid w:val="006245F7"/>
    <w:rsid w:val="00624C79"/>
    <w:rsid w:val="0062510A"/>
    <w:rsid w:val="00625EBD"/>
    <w:rsid w:val="00626BF9"/>
    <w:rsid w:val="00626F4F"/>
    <w:rsid w:val="006306B7"/>
    <w:rsid w:val="00630F09"/>
    <w:rsid w:val="0063393E"/>
    <w:rsid w:val="006339AD"/>
    <w:rsid w:val="00633F77"/>
    <w:rsid w:val="00634688"/>
    <w:rsid w:val="00634C36"/>
    <w:rsid w:val="00634EB2"/>
    <w:rsid w:val="00635E7E"/>
    <w:rsid w:val="00640242"/>
    <w:rsid w:val="00641142"/>
    <w:rsid w:val="006418EE"/>
    <w:rsid w:val="0064312A"/>
    <w:rsid w:val="00643D3A"/>
    <w:rsid w:val="00643F8D"/>
    <w:rsid w:val="0064476A"/>
    <w:rsid w:val="00645531"/>
    <w:rsid w:val="00646E54"/>
    <w:rsid w:val="00653CB2"/>
    <w:rsid w:val="00654187"/>
    <w:rsid w:val="0065571A"/>
    <w:rsid w:val="00662908"/>
    <w:rsid w:val="00663C99"/>
    <w:rsid w:val="00664506"/>
    <w:rsid w:val="006664C0"/>
    <w:rsid w:val="006673CA"/>
    <w:rsid w:val="00667778"/>
    <w:rsid w:val="00667CF1"/>
    <w:rsid w:val="006729B8"/>
    <w:rsid w:val="00676F9F"/>
    <w:rsid w:val="006828ED"/>
    <w:rsid w:val="00682DDD"/>
    <w:rsid w:val="0068428D"/>
    <w:rsid w:val="00685CCC"/>
    <w:rsid w:val="00685D87"/>
    <w:rsid w:val="006866B0"/>
    <w:rsid w:val="006866E6"/>
    <w:rsid w:val="0068706D"/>
    <w:rsid w:val="00687799"/>
    <w:rsid w:val="00687B8D"/>
    <w:rsid w:val="00690E52"/>
    <w:rsid w:val="00693B10"/>
    <w:rsid w:val="00693CFA"/>
    <w:rsid w:val="00695FBF"/>
    <w:rsid w:val="0069657E"/>
    <w:rsid w:val="00696E44"/>
    <w:rsid w:val="00697C30"/>
    <w:rsid w:val="00697C31"/>
    <w:rsid w:val="006A0381"/>
    <w:rsid w:val="006A0BB2"/>
    <w:rsid w:val="006A0BDF"/>
    <w:rsid w:val="006A1BA2"/>
    <w:rsid w:val="006A4616"/>
    <w:rsid w:val="006A7E00"/>
    <w:rsid w:val="006B1180"/>
    <w:rsid w:val="006B274C"/>
    <w:rsid w:val="006B2902"/>
    <w:rsid w:val="006B2910"/>
    <w:rsid w:val="006B310D"/>
    <w:rsid w:val="006B4133"/>
    <w:rsid w:val="006B512C"/>
    <w:rsid w:val="006B54E9"/>
    <w:rsid w:val="006B7580"/>
    <w:rsid w:val="006C0C7F"/>
    <w:rsid w:val="006C2ABE"/>
    <w:rsid w:val="006C306A"/>
    <w:rsid w:val="006C48F1"/>
    <w:rsid w:val="006C7754"/>
    <w:rsid w:val="006D153D"/>
    <w:rsid w:val="006D231B"/>
    <w:rsid w:val="006D23FC"/>
    <w:rsid w:val="006D39A9"/>
    <w:rsid w:val="006D4254"/>
    <w:rsid w:val="006D552F"/>
    <w:rsid w:val="006D5741"/>
    <w:rsid w:val="006D71A8"/>
    <w:rsid w:val="006D73C2"/>
    <w:rsid w:val="006D7621"/>
    <w:rsid w:val="006D7F68"/>
    <w:rsid w:val="006E0558"/>
    <w:rsid w:val="006E18AD"/>
    <w:rsid w:val="006E216D"/>
    <w:rsid w:val="006E2291"/>
    <w:rsid w:val="006E2F22"/>
    <w:rsid w:val="006E30AE"/>
    <w:rsid w:val="006E3FC3"/>
    <w:rsid w:val="006E4FFE"/>
    <w:rsid w:val="006E6533"/>
    <w:rsid w:val="006F1E95"/>
    <w:rsid w:val="006F205E"/>
    <w:rsid w:val="006F3BA7"/>
    <w:rsid w:val="006F4A17"/>
    <w:rsid w:val="006F595A"/>
    <w:rsid w:val="006F5E82"/>
    <w:rsid w:val="0070099B"/>
    <w:rsid w:val="00701C15"/>
    <w:rsid w:val="00702460"/>
    <w:rsid w:val="00703178"/>
    <w:rsid w:val="007031F8"/>
    <w:rsid w:val="00704421"/>
    <w:rsid w:val="007060EE"/>
    <w:rsid w:val="00706179"/>
    <w:rsid w:val="00706A93"/>
    <w:rsid w:val="00707AA7"/>
    <w:rsid w:val="00711B6D"/>
    <w:rsid w:val="00711CCF"/>
    <w:rsid w:val="00712749"/>
    <w:rsid w:val="0071301B"/>
    <w:rsid w:val="0071349D"/>
    <w:rsid w:val="0071456E"/>
    <w:rsid w:val="00716123"/>
    <w:rsid w:val="0071640B"/>
    <w:rsid w:val="00721265"/>
    <w:rsid w:val="00725AAE"/>
    <w:rsid w:val="00725BB9"/>
    <w:rsid w:val="007260B8"/>
    <w:rsid w:val="00730429"/>
    <w:rsid w:val="00730E96"/>
    <w:rsid w:val="007352EB"/>
    <w:rsid w:val="0073619E"/>
    <w:rsid w:val="00736C67"/>
    <w:rsid w:val="00740DAF"/>
    <w:rsid w:val="00741A57"/>
    <w:rsid w:val="007421B1"/>
    <w:rsid w:val="007437A5"/>
    <w:rsid w:val="0074721E"/>
    <w:rsid w:val="007530C9"/>
    <w:rsid w:val="00753F05"/>
    <w:rsid w:val="007565EF"/>
    <w:rsid w:val="00757230"/>
    <w:rsid w:val="007576E9"/>
    <w:rsid w:val="007604BE"/>
    <w:rsid w:val="00760E11"/>
    <w:rsid w:val="00760FC1"/>
    <w:rsid w:val="00761125"/>
    <w:rsid w:val="0076152F"/>
    <w:rsid w:val="007623B1"/>
    <w:rsid w:val="00762E4D"/>
    <w:rsid w:val="007633FE"/>
    <w:rsid w:val="00765A2E"/>
    <w:rsid w:val="007706E7"/>
    <w:rsid w:val="007711F2"/>
    <w:rsid w:val="0077210A"/>
    <w:rsid w:val="007739F3"/>
    <w:rsid w:val="0077437C"/>
    <w:rsid w:val="00776D6D"/>
    <w:rsid w:val="00777298"/>
    <w:rsid w:val="00777A69"/>
    <w:rsid w:val="00777F85"/>
    <w:rsid w:val="007801E5"/>
    <w:rsid w:val="00781475"/>
    <w:rsid w:val="00782030"/>
    <w:rsid w:val="007831D2"/>
    <w:rsid w:val="007854B9"/>
    <w:rsid w:val="007860EF"/>
    <w:rsid w:val="00787550"/>
    <w:rsid w:val="00791410"/>
    <w:rsid w:val="007932D1"/>
    <w:rsid w:val="00794648"/>
    <w:rsid w:val="007955E3"/>
    <w:rsid w:val="007957C8"/>
    <w:rsid w:val="00796075"/>
    <w:rsid w:val="00796910"/>
    <w:rsid w:val="00797046"/>
    <w:rsid w:val="00797D3E"/>
    <w:rsid w:val="007A0054"/>
    <w:rsid w:val="007A02C3"/>
    <w:rsid w:val="007A0A09"/>
    <w:rsid w:val="007A19DE"/>
    <w:rsid w:val="007A2EB8"/>
    <w:rsid w:val="007A42E0"/>
    <w:rsid w:val="007A5020"/>
    <w:rsid w:val="007B0192"/>
    <w:rsid w:val="007B0552"/>
    <w:rsid w:val="007B0746"/>
    <w:rsid w:val="007B1695"/>
    <w:rsid w:val="007B2AE5"/>
    <w:rsid w:val="007B343B"/>
    <w:rsid w:val="007B46AC"/>
    <w:rsid w:val="007B555E"/>
    <w:rsid w:val="007B56A9"/>
    <w:rsid w:val="007B72C4"/>
    <w:rsid w:val="007B73FC"/>
    <w:rsid w:val="007B7EE0"/>
    <w:rsid w:val="007C0979"/>
    <w:rsid w:val="007C150E"/>
    <w:rsid w:val="007C2020"/>
    <w:rsid w:val="007C253A"/>
    <w:rsid w:val="007C25D7"/>
    <w:rsid w:val="007C40BB"/>
    <w:rsid w:val="007C430C"/>
    <w:rsid w:val="007C5E46"/>
    <w:rsid w:val="007C5FB8"/>
    <w:rsid w:val="007C6117"/>
    <w:rsid w:val="007C7115"/>
    <w:rsid w:val="007C789F"/>
    <w:rsid w:val="007D041F"/>
    <w:rsid w:val="007D0E19"/>
    <w:rsid w:val="007D120D"/>
    <w:rsid w:val="007D1FD4"/>
    <w:rsid w:val="007D2D98"/>
    <w:rsid w:val="007D2E14"/>
    <w:rsid w:val="007D2E2C"/>
    <w:rsid w:val="007D3795"/>
    <w:rsid w:val="007D47BC"/>
    <w:rsid w:val="007D48FA"/>
    <w:rsid w:val="007D495E"/>
    <w:rsid w:val="007D6B21"/>
    <w:rsid w:val="007D7618"/>
    <w:rsid w:val="007D7E19"/>
    <w:rsid w:val="007E17BC"/>
    <w:rsid w:val="007E18CD"/>
    <w:rsid w:val="007E1B0F"/>
    <w:rsid w:val="007E31B6"/>
    <w:rsid w:val="007E3EB9"/>
    <w:rsid w:val="007E4CC0"/>
    <w:rsid w:val="007E718D"/>
    <w:rsid w:val="007F17DB"/>
    <w:rsid w:val="007F430F"/>
    <w:rsid w:val="007F5247"/>
    <w:rsid w:val="007F7CDC"/>
    <w:rsid w:val="008000BA"/>
    <w:rsid w:val="008014E3"/>
    <w:rsid w:val="0080173F"/>
    <w:rsid w:val="00805343"/>
    <w:rsid w:val="00805AA4"/>
    <w:rsid w:val="00810ABE"/>
    <w:rsid w:val="0081160D"/>
    <w:rsid w:val="00811B68"/>
    <w:rsid w:val="0081222F"/>
    <w:rsid w:val="0081364E"/>
    <w:rsid w:val="00813CA0"/>
    <w:rsid w:val="00814003"/>
    <w:rsid w:val="00814A82"/>
    <w:rsid w:val="00814C7F"/>
    <w:rsid w:val="00815F06"/>
    <w:rsid w:val="00825741"/>
    <w:rsid w:val="0082596F"/>
    <w:rsid w:val="008279EF"/>
    <w:rsid w:val="00827AB2"/>
    <w:rsid w:val="0083105D"/>
    <w:rsid w:val="00831266"/>
    <w:rsid w:val="00831AD2"/>
    <w:rsid w:val="008332DA"/>
    <w:rsid w:val="008352E0"/>
    <w:rsid w:val="0083768B"/>
    <w:rsid w:val="00842161"/>
    <w:rsid w:val="00845537"/>
    <w:rsid w:val="00851C30"/>
    <w:rsid w:val="00851D99"/>
    <w:rsid w:val="00853879"/>
    <w:rsid w:val="00854D2E"/>
    <w:rsid w:val="00855CD9"/>
    <w:rsid w:val="0085625D"/>
    <w:rsid w:val="00856365"/>
    <w:rsid w:val="008576D6"/>
    <w:rsid w:val="00857AE4"/>
    <w:rsid w:val="00860FE4"/>
    <w:rsid w:val="0086246A"/>
    <w:rsid w:val="008631F6"/>
    <w:rsid w:val="008636ED"/>
    <w:rsid w:val="008643DB"/>
    <w:rsid w:val="00865EE4"/>
    <w:rsid w:val="00866DE4"/>
    <w:rsid w:val="00870439"/>
    <w:rsid w:val="00873630"/>
    <w:rsid w:val="0087444E"/>
    <w:rsid w:val="00874D90"/>
    <w:rsid w:val="008836F6"/>
    <w:rsid w:val="00883E0F"/>
    <w:rsid w:val="0088477D"/>
    <w:rsid w:val="00885B45"/>
    <w:rsid w:val="00885EE5"/>
    <w:rsid w:val="00887893"/>
    <w:rsid w:val="00887FC3"/>
    <w:rsid w:val="00890FD8"/>
    <w:rsid w:val="0089125C"/>
    <w:rsid w:val="008949F2"/>
    <w:rsid w:val="00894DC1"/>
    <w:rsid w:val="0089682E"/>
    <w:rsid w:val="008A01A5"/>
    <w:rsid w:val="008A236E"/>
    <w:rsid w:val="008A2F0C"/>
    <w:rsid w:val="008A35A7"/>
    <w:rsid w:val="008A3F96"/>
    <w:rsid w:val="008A4C12"/>
    <w:rsid w:val="008A5414"/>
    <w:rsid w:val="008A5521"/>
    <w:rsid w:val="008A70A8"/>
    <w:rsid w:val="008A7283"/>
    <w:rsid w:val="008A790A"/>
    <w:rsid w:val="008B23C1"/>
    <w:rsid w:val="008B669F"/>
    <w:rsid w:val="008B7C43"/>
    <w:rsid w:val="008B7EC6"/>
    <w:rsid w:val="008C103B"/>
    <w:rsid w:val="008C1DC6"/>
    <w:rsid w:val="008C1F9A"/>
    <w:rsid w:val="008C235C"/>
    <w:rsid w:val="008C350F"/>
    <w:rsid w:val="008C3A0F"/>
    <w:rsid w:val="008C4857"/>
    <w:rsid w:val="008C6ECF"/>
    <w:rsid w:val="008C789C"/>
    <w:rsid w:val="008D0308"/>
    <w:rsid w:val="008D087C"/>
    <w:rsid w:val="008D5B22"/>
    <w:rsid w:val="008E043F"/>
    <w:rsid w:val="008E1AD0"/>
    <w:rsid w:val="008E1C34"/>
    <w:rsid w:val="008E20D4"/>
    <w:rsid w:val="008E5B0F"/>
    <w:rsid w:val="008E7B6E"/>
    <w:rsid w:val="008F0A0A"/>
    <w:rsid w:val="008F4719"/>
    <w:rsid w:val="008F5097"/>
    <w:rsid w:val="008F5F0C"/>
    <w:rsid w:val="008F6BE3"/>
    <w:rsid w:val="00903A31"/>
    <w:rsid w:val="00904D85"/>
    <w:rsid w:val="00904F22"/>
    <w:rsid w:val="00906976"/>
    <w:rsid w:val="0091347D"/>
    <w:rsid w:val="0091392E"/>
    <w:rsid w:val="00915EDD"/>
    <w:rsid w:val="00915F29"/>
    <w:rsid w:val="00916390"/>
    <w:rsid w:val="009231DC"/>
    <w:rsid w:val="00925917"/>
    <w:rsid w:val="009266FC"/>
    <w:rsid w:val="00934DB2"/>
    <w:rsid w:val="009354F2"/>
    <w:rsid w:val="00936244"/>
    <w:rsid w:val="00936461"/>
    <w:rsid w:val="009375B7"/>
    <w:rsid w:val="00937652"/>
    <w:rsid w:val="00937BAA"/>
    <w:rsid w:val="00941E9B"/>
    <w:rsid w:val="0094493E"/>
    <w:rsid w:val="009502E6"/>
    <w:rsid w:val="009515E1"/>
    <w:rsid w:val="00951E03"/>
    <w:rsid w:val="00955D87"/>
    <w:rsid w:val="00960AD3"/>
    <w:rsid w:val="00963348"/>
    <w:rsid w:val="00963B51"/>
    <w:rsid w:val="00963F56"/>
    <w:rsid w:val="00966806"/>
    <w:rsid w:val="00970164"/>
    <w:rsid w:val="009722AF"/>
    <w:rsid w:val="00972791"/>
    <w:rsid w:val="00972963"/>
    <w:rsid w:val="00974493"/>
    <w:rsid w:val="009758B5"/>
    <w:rsid w:val="00976A4B"/>
    <w:rsid w:val="009770B1"/>
    <w:rsid w:val="009811F5"/>
    <w:rsid w:val="00981850"/>
    <w:rsid w:val="009824CA"/>
    <w:rsid w:val="00985050"/>
    <w:rsid w:val="009850CA"/>
    <w:rsid w:val="00985266"/>
    <w:rsid w:val="00986A35"/>
    <w:rsid w:val="009871C2"/>
    <w:rsid w:val="009875ED"/>
    <w:rsid w:val="00993784"/>
    <w:rsid w:val="00995074"/>
    <w:rsid w:val="009A1B34"/>
    <w:rsid w:val="009A267A"/>
    <w:rsid w:val="009A2699"/>
    <w:rsid w:val="009A39E0"/>
    <w:rsid w:val="009B0D22"/>
    <w:rsid w:val="009B1002"/>
    <w:rsid w:val="009B1D3A"/>
    <w:rsid w:val="009B34D4"/>
    <w:rsid w:val="009B3F89"/>
    <w:rsid w:val="009B45C5"/>
    <w:rsid w:val="009B5524"/>
    <w:rsid w:val="009B591B"/>
    <w:rsid w:val="009B7463"/>
    <w:rsid w:val="009B7ED7"/>
    <w:rsid w:val="009C11AA"/>
    <w:rsid w:val="009C1595"/>
    <w:rsid w:val="009C1C5E"/>
    <w:rsid w:val="009C2143"/>
    <w:rsid w:val="009C400F"/>
    <w:rsid w:val="009C5464"/>
    <w:rsid w:val="009C7E12"/>
    <w:rsid w:val="009D0074"/>
    <w:rsid w:val="009D1021"/>
    <w:rsid w:val="009D170C"/>
    <w:rsid w:val="009D28E0"/>
    <w:rsid w:val="009D3A06"/>
    <w:rsid w:val="009D441D"/>
    <w:rsid w:val="009D55D9"/>
    <w:rsid w:val="009D6182"/>
    <w:rsid w:val="009E21DB"/>
    <w:rsid w:val="009E279D"/>
    <w:rsid w:val="009E397C"/>
    <w:rsid w:val="009E4B7E"/>
    <w:rsid w:val="009E4B93"/>
    <w:rsid w:val="009E500A"/>
    <w:rsid w:val="009E6C33"/>
    <w:rsid w:val="009E7F4D"/>
    <w:rsid w:val="009F1DE6"/>
    <w:rsid w:val="009F5FF5"/>
    <w:rsid w:val="009F60CB"/>
    <w:rsid w:val="00A00103"/>
    <w:rsid w:val="00A026CA"/>
    <w:rsid w:val="00A04AE7"/>
    <w:rsid w:val="00A057A3"/>
    <w:rsid w:val="00A059C8"/>
    <w:rsid w:val="00A0621A"/>
    <w:rsid w:val="00A06F60"/>
    <w:rsid w:val="00A10C28"/>
    <w:rsid w:val="00A14752"/>
    <w:rsid w:val="00A15436"/>
    <w:rsid w:val="00A15BCA"/>
    <w:rsid w:val="00A161DA"/>
    <w:rsid w:val="00A164C8"/>
    <w:rsid w:val="00A17A44"/>
    <w:rsid w:val="00A2145C"/>
    <w:rsid w:val="00A22CB3"/>
    <w:rsid w:val="00A242CD"/>
    <w:rsid w:val="00A26EF5"/>
    <w:rsid w:val="00A326CC"/>
    <w:rsid w:val="00A34D1B"/>
    <w:rsid w:val="00A3552B"/>
    <w:rsid w:val="00A3591E"/>
    <w:rsid w:val="00A4069E"/>
    <w:rsid w:val="00A41A70"/>
    <w:rsid w:val="00A44B60"/>
    <w:rsid w:val="00A44FE2"/>
    <w:rsid w:val="00A4693A"/>
    <w:rsid w:val="00A47640"/>
    <w:rsid w:val="00A5056C"/>
    <w:rsid w:val="00A50FD3"/>
    <w:rsid w:val="00A52619"/>
    <w:rsid w:val="00A527F6"/>
    <w:rsid w:val="00A52848"/>
    <w:rsid w:val="00A52950"/>
    <w:rsid w:val="00A550C0"/>
    <w:rsid w:val="00A55CCC"/>
    <w:rsid w:val="00A5683C"/>
    <w:rsid w:val="00A60609"/>
    <w:rsid w:val="00A62A2E"/>
    <w:rsid w:val="00A670E1"/>
    <w:rsid w:val="00A6734B"/>
    <w:rsid w:val="00A674D2"/>
    <w:rsid w:val="00A675B4"/>
    <w:rsid w:val="00A719CA"/>
    <w:rsid w:val="00A72028"/>
    <w:rsid w:val="00A7227F"/>
    <w:rsid w:val="00A75BD7"/>
    <w:rsid w:val="00A76804"/>
    <w:rsid w:val="00A775DD"/>
    <w:rsid w:val="00A808B0"/>
    <w:rsid w:val="00A85B92"/>
    <w:rsid w:val="00A87C8C"/>
    <w:rsid w:val="00A90B04"/>
    <w:rsid w:val="00A9124B"/>
    <w:rsid w:val="00A91493"/>
    <w:rsid w:val="00A965D1"/>
    <w:rsid w:val="00A9693C"/>
    <w:rsid w:val="00AA4E24"/>
    <w:rsid w:val="00AA60E5"/>
    <w:rsid w:val="00AA672F"/>
    <w:rsid w:val="00AA6910"/>
    <w:rsid w:val="00AA6CF2"/>
    <w:rsid w:val="00AA749A"/>
    <w:rsid w:val="00AB04A8"/>
    <w:rsid w:val="00AB507E"/>
    <w:rsid w:val="00AB54AC"/>
    <w:rsid w:val="00AC06A6"/>
    <w:rsid w:val="00AC1272"/>
    <w:rsid w:val="00AC23C6"/>
    <w:rsid w:val="00AC48F7"/>
    <w:rsid w:val="00AC4A7D"/>
    <w:rsid w:val="00AC5CC3"/>
    <w:rsid w:val="00AD029F"/>
    <w:rsid w:val="00AD30C5"/>
    <w:rsid w:val="00AD48BB"/>
    <w:rsid w:val="00AD4F80"/>
    <w:rsid w:val="00AD54FE"/>
    <w:rsid w:val="00AD7991"/>
    <w:rsid w:val="00AE19C2"/>
    <w:rsid w:val="00AE1A2D"/>
    <w:rsid w:val="00AF0266"/>
    <w:rsid w:val="00AF07AB"/>
    <w:rsid w:val="00AF0E98"/>
    <w:rsid w:val="00AF13F9"/>
    <w:rsid w:val="00AF42FD"/>
    <w:rsid w:val="00AF63CA"/>
    <w:rsid w:val="00AF6A2D"/>
    <w:rsid w:val="00B0157D"/>
    <w:rsid w:val="00B03EBF"/>
    <w:rsid w:val="00B05388"/>
    <w:rsid w:val="00B05F41"/>
    <w:rsid w:val="00B06C2C"/>
    <w:rsid w:val="00B0757F"/>
    <w:rsid w:val="00B12185"/>
    <w:rsid w:val="00B13026"/>
    <w:rsid w:val="00B13754"/>
    <w:rsid w:val="00B13A2F"/>
    <w:rsid w:val="00B15A7A"/>
    <w:rsid w:val="00B20822"/>
    <w:rsid w:val="00B20845"/>
    <w:rsid w:val="00B20BDD"/>
    <w:rsid w:val="00B23464"/>
    <w:rsid w:val="00B23C63"/>
    <w:rsid w:val="00B30260"/>
    <w:rsid w:val="00B31BDE"/>
    <w:rsid w:val="00B33A74"/>
    <w:rsid w:val="00B3427E"/>
    <w:rsid w:val="00B3769F"/>
    <w:rsid w:val="00B41D7B"/>
    <w:rsid w:val="00B42848"/>
    <w:rsid w:val="00B4347A"/>
    <w:rsid w:val="00B4376B"/>
    <w:rsid w:val="00B4397E"/>
    <w:rsid w:val="00B44483"/>
    <w:rsid w:val="00B44777"/>
    <w:rsid w:val="00B447AD"/>
    <w:rsid w:val="00B4548E"/>
    <w:rsid w:val="00B4686F"/>
    <w:rsid w:val="00B5068B"/>
    <w:rsid w:val="00B51566"/>
    <w:rsid w:val="00B53043"/>
    <w:rsid w:val="00B53C46"/>
    <w:rsid w:val="00B541CC"/>
    <w:rsid w:val="00B54441"/>
    <w:rsid w:val="00B55CE8"/>
    <w:rsid w:val="00B5768A"/>
    <w:rsid w:val="00B606AB"/>
    <w:rsid w:val="00B61732"/>
    <w:rsid w:val="00B63270"/>
    <w:rsid w:val="00B63405"/>
    <w:rsid w:val="00B6457F"/>
    <w:rsid w:val="00B666D9"/>
    <w:rsid w:val="00B66848"/>
    <w:rsid w:val="00B70E0C"/>
    <w:rsid w:val="00B7210A"/>
    <w:rsid w:val="00B72B34"/>
    <w:rsid w:val="00B73343"/>
    <w:rsid w:val="00B7391E"/>
    <w:rsid w:val="00B754E3"/>
    <w:rsid w:val="00B765E2"/>
    <w:rsid w:val="00B76BA7"/>
    <w:rsid w:val="00B76E24"/>
    <w:rsid w:val="00B778C0"/>
    <w:rsid w:val="00B822DB"/>
    <w:rsid w:val="00B8261C"/>
    <w:rsid w:val="00B82A9A"/>
    <w:rsid w:val="00B82D93"/>
    <w:rsid w:val="00B844CA"/>
    <w:rsid w:val="00B85374"/>
    <w:rsid w:val="00B85F54"/>
    <w:rsid w:val="00B86595"/>
    <w:rsid w:val="00B87BEC"/>
    <w:rsid w:val="00B92179"/>
    <w:rsid w:val="00B936E2"/>
    <w:rsid w:val="00B940AA"/>
    <w:rsid w:val="00B941BB"/>
    <w:rsid w:val="00B955E4"/>
    <w:rsid w:val="00BA00DC"/>
    <w:rsid w:val="00BA0224"/>
    <w:rsid w:val="00BA0296"/>
    <w:rsid w:val="00BA1EBE"/>
    <w:rsid w:val="00BA483F"/>
    <w:rsid w:val="00BA4F84"/>
    <w:rsid w:val="00BB119B"/>
    <w:rsid w:val="00BB1448"/>
    <w:rsid w:val="00BB181C"/>
    <w:rsid w:val="00BB2091"/>
    <w:rsid w:val="00BB2DD3"/>
    <w:rsid w:val="00BB4917"/>
    <w:rsid w:val="00BB521C"/>
    <w:rsid w:val="00BB52FC"/>
    <w:rsid w:val="00BB6313"/>
    <w:rsid w:val="00BB6C20"/>
    <w:rsid w:val="00BC2A1C"/>
    <w:rsid w:val="00BC3EB4"/>
    <w:rsid w:val="00BC3FBC"/>
    <w:rsid w:val="00BC4262"/>
    <w:rsid w:val="00BC69B3"/>
    <w:rsid w:val="00BC7C58"/>
    <w:rsid w:val="00BD0156"/>
    <w:rsid w:val="00BD29F7"/>
    <w:rsid w:val="00BD3E5B"/>
    <w:rsid w:val="00BD5E3C"/>
    <w:rsid w:val="00BD716D"/>
    <w:rsid w:val="00BE0F0F"/>
    <w:rsid w:val="00BE1889"/>
    <w:rsid w:val="00BE2203"/>
    <w:rsid w:val="00BE27DA"/>
    <w:rsid w:val="00BE28B2"/>
    <w:rsid w:val="00BE5DDE"/>
    <w:rsid w:val="00BE6C13"/>
    <w:rsid w:val="00BF0A8B"/>
    <w:rsid w:val="00BF0BD9"/>
    <w:rsid w:val="00BF39D8"/>
    <w:rsid w:val="00BF5D09"/>
    <w:rsid w:val="00C0074F"/>
    <w:rsid w:val="00C010B4"/>
    <w:rsid w:val="00C0217F"/>
    <w:rsid w:val="00C0242E"/>
    <w:rsid w:val="00C043EC"/>
    <w:rsid w:val="00C05055"/>
    <w:rsid w:val="00C06699"/>
    <w:rsid w:val="00C07E7E"/>
    <w:rsid w:val="00C1088E"/>
    <w:rsid w:val="00C13646"/>
    <w:rsid w:val="00C14038"/>
    <w:rsid w:val="00C1651D"/>
    <w:rsid w:val="00C21232"/>
    <w:rsid w:val="00C21A99"/>
    <w:rsid w:val="00C2255B"/>
    <w:rsid w:val="00C2270E"/>
    <w:rsid w:val="00C270C9"/>
    <w:rsid w:val="00C270FC"/>
    <w:rsid w:val="00C30824"/>
    <w:rsid w:val="00C30841"/>
    <w:rsid w:val="00C335E9"/>
    <w:rsid w:val="00C34706"/>
    <w:rsid w:val="00C34AF2"/>
    <w:rsid w:val="00C354FE"/>
    <w:rsid w:val="00C36919"/>
    <w:rsid w:val="00C37ECE"/>
    <w:rsid w:val="00C41329"/>
    <w:rsid w:val="00C41A01"/>
    <w:rsid w:val="00C428B8"/>
    <w:rsid w:val="00C42A90"/>
    <w:rsid w:val="00C43A00"/>
    <w:rsid w:val="00C441EF"/>
    <w:rsid w:val="00C4597C"/>
    <w:rsid w:val="00C45A48"/>
    <w:rsid w:val="00C45FEE"/>
    <w:rsid w:val="00C464FC"/>
    <w:rsid w:val="00C466A1"/>
    <w:rsid w:val="00C46721"/>
    <w:rsid w:val="00C47956"/>
    <w:rsid w:val="00C51058"/>
    <w:rsid w:val="00C512AF"/>
    <w:rsid w:val="00C5144F"/>
    <w:rsid w:val="00C52393"/>
    <w:rsid w:val="00C52529"/>
    <w:rsid w:val="00C5297D"/>
    <w:rsid w:val="00C53C3A"/>
    <w:rsid w:val="00C55B29"/>
    <w:rsid w:val="00C5739E"/>
    <w:rsid w:val="00C6177E"/>
    <w:rsid w:val="00C65703"/>
    <w:rsid w:val="00C66087"/>
    <w:rsid w:val="00C66D6A"/>
    <w:rsid w:val="00C6706C"/>
    <w:rsid w:val="00C671F9"/>
    <w:rsid w:val="00C70FAC"/>
    <w:rsid w:val="00C71021"/>
    <w:rsid w:val="00C725C0"/>
    <w:rsid w:val="00C76ACD"/>
    <w:rsid w:val="00C76B29"/>
    <w:rsid w:val="00C7772F"/>
    <w:rsid w:val="00C80073"/>
    <w:rsid w:val="00C82189"/>
    <w:rsid w:val="00C823FD"/>
    <w:rsid w:val="00C9418A"/>
    <w:rsid w:val="00C9467F"/>
    <w:rsid w:val="00C95F9E"/>
    <w:rsid w:val="00C9689C"/>
    <w:rsid w:val="00C97290"/>
    <w:rsid w:val="00CA22CF"/>
    <w:rsid w:val="00CA4CB4"/>
    <w:rsid w:val="00CA4E6B"/>
    <w:rsid w:val="00CA4F93"/>
    <w:rsid w:val="00CA54A8"/>
    <w:rsid w:val="00CA7B2F"/>
    <w:rsid w:val="00CB2695"/>
    <w:rsid w:val="00CB3FB3"/>
    <w:rsid w:val="00CB5D66"/>
    <w:rsid w:val="00CC1208"/>
    <w:rsid w:val="00CC18F3"/>
    <w:rsid w:val="00CC32F2"/>
    <w:rsid w:val="00CC6463"/>
    <w:rsid w:val="00CD2DC2"/>
    <w:rsid w:val="00CD2F73"/>
    <w:rsid w:val="00CD38FC"/>
    <w:rsid w:val="00CD4A03"/>
    <w:rsid w:val="00CD52E4"/>
    <w:rsid w:val="00CD5517"/>
    <w:rsid w:val="00CD6090"/>
    <w:rsid w:val="00CD621D"/>
    <w:rsid w:val="00CD7173"/>
    <w:rsid w:val="00CE0F79"/>
    <w:rsid w:val="00CE3F58"/>
    <w:rsid w:val="00CE461F"/>
    <w:rsid w:val="00CE49B4"/>
    <w:rsid w:val="00CE4C66"/>
    <w:rsid w:val="00CF0DFF"/>
    <w:rsid w:val="00CF3022"/>
    <w:rsid w:val="00CF3772"/>
    <w:rsid w:val="00CF46C7"/>
    <w:rsid w:val="00CF4FE0"/>
    <w:rsid w:val="00CF5D0F"/>
    <w:rsid w:val="00CF6598"/>
    <w:rsid w:val="00CF6D40"/>
    <w:rsid w:val="00CF7B59"/>
    <w:rsid w:val="00D0125C"/>
    <w:rsid w:val="00D02888"/>
    <w:rsid w:val="00D0344A"/>
    <w:rsid w:val="00D037A5"/>
    <w:rsid w:val="00D0409F"/>
    <w:rsid w:val="00D0627F"/>
    <w:rsid w:val="00D07A24"/>
    <w:rsid w:val="00D1005F"/>
    <w:rsid w:val="00D15228"/>
    <w:rsid w:val="00D1548C"/>
    <w:rsid w:val="00D15E7A"/>
    <w:rsid w:val="00D21F69"/>
    <w:rsid w:val="00D220A2"/>
    <w:rsid w:val="00D236FC"/>
    <w:rsid w:val="00D269D7"/>
    <w:rsid w:val="00D300E5"/>
    <w:rsid w:val="00D333CC"/>
    <w:rsid w:val="00D336C3"/>
    <w:rsid w:val="00D33FBC"/>
    <w:rsid w:val="00D354C7"/>
    <w:rsid w:val="00D404F0"/>
    <w:rsid w:val="00D43D46"/>
    <w:rsid w:val="00D462DE"/>
    <w:rsid w:val="00D47266"/>
    <w:rsid w:val="00D47731"/>
    <w:rsid w:val="00D5004B"/>
    <w:rsid w:val="00D50F85"/>
    <w:rsid w:val="00D550A1"/>
    <w:rsid w:val="00D5762D"/>
    <w:rsid w:val="00D603E5"/>
    <w:rsid w:val="00D628C2"/>
    <w:rsid w:val="00D6413C"/>
    <w:rsid w:val="00D64B62"/>
    <w:rsid w:val="00D71093"/>
    <w:rsid w:val="00D71F3A"/>
    <w:rsid w:val="00D72CC9"/>
    <w:rsid w:val="00D732A2"/>
    <w:rsid w:val="00D74821"/>
    <w:rsid w:val="00D76AAA"/>
    <w:rsid w:val="00D77A48"/>
    <w:rsid w:val="00D8016B"/>
    <w:rsid w:val="00D80507"/>
    <w:rsid w:val="00D8086C"/>
    <w:rsid w:val="00D819F3"/>
    <w:rsid w:val="00D83602"/>
    <w:rsid w:val="00D84F47"/>
    <w:rsid w:val="00D86C46"/>
    <w:rsid w:val="00D86CBA"/>
    <w:rsid w:val="00D87DA5"/>
    <w:rsid w:val="00D9037D"/>
    <w:rsid w:val="00D9085A"/>
    <w:rsid w:val="00D917B7"/>
    <w:rsid w:val="00D92241"/>
    <w:rsid w:val="00D92A37"/>
    <w:rsid w:val="00D92A58"/>
    <w:rsid w:val="00D93111"/>
    <w:rsid w:val="00D93221"/>
    <w:rsid w:val="00D94ED3"/>
    <w:rsid w:val="00D95A6E"/>
    <w:rsid w:val="00D964EE"/>
    <w:rsid w:val="00D97EFE"/>
    <w:rsid w:val="00DA167A"/>
    <w:rsid w:val="00DA29D4"/>
    <w:rsid w:val="00DA33AB"/>
    <w:rsid w:val="00DA6883"/>
    <w:rsid w:val="00DA6CCF"/>
    <w:rsid w:val="00DA7817"/>
    <w:rsid w:val="00DB0C5F"/>
    <w:rsid w:val="00DB0C8D"/>
    <w:rsid w:val="00DB0DFA"/>
    <w:rsid w:val="00DB0EBA"/>
    <w:rsid w:val="00DB135F"/>
    <w:rsid w:val="00DB1808"/>
    <w:rsid w:val="00DB1933"/>
    <w:rsid w:val="00DB1AB1"/>
    <w:rsid w:val="00DB31AC"/>
    <w:rsid w:val="00DC37FE"/>
    <w:rsid w:val="00DC46CC"/>
    <w:rsid w:val="00DC6700"/>
    <w:rsid w:val="00DC7294"/>
    <w:rsid w:val="00DC7396"/>
    <w:rsid w:val="00DC772E"/>
    <w:rsid w:val="00DD04F2"/>
    <w:rsid w:val="00DD09F4"/>
    <w:rsid w:val="00DD1A7A"/>
    <w:rsid w:val="00DD31C7"/>
    <w:rsid w:val="00DD3E8F"/>
    <w:rsid w:val="00DD4921"/>
    <w:rsid w:val="00DD4E66"/>
    <w:rsid w:val="00DD59C8"/>
    <w:rsid w:val="00DD5B38"/>
    <w:rsid w:val="00DD6FF6"/>
    <w:rsid w:val="00DE078D"/>
    <w:rsid w:val="00DE1ADB"/>
    <w:rsid w:val="00DE3024"/>
    <w:rsid w:val="00DE3388"/>
    <w:rsid w:val="00DE371A"/>
    <w:rsid w:val="00DE3D51"/>
    <w:rsid w:val="00DE4D0A"/>
    <w:rsid w:val="00DE6964"/>
    <w:rsid w:val="00DF05FD"/>
    <w:rsid w:val="00DF15C7"/>
    <w:rsid w:val="00DF1C2C"/>
    <w:rsid w:val="00DF37E9"/>
    <w:rsid w:val="00DF424D"/>
    <w:rsid w:val="00DF4650"/>
    <w:rsid w:val="00DF52CE"/>
    <w:rsid w:val="00DF55D2"/>
    <w:rsid w:val="00DF6268"/>
    <w:rsid w:val="00DF79DC"/>
    <w:rsid w:val="00E00132"/>
    <w:rsid w:val="00E01BF6"/>
    <w:rsid w:val="00E0306A"/>
    <w:rsid w:val="00E034BA"/>
    <w:rsid w:val="00E03D7A"/>
    <w:rsid w:val="00E05B6C"/>
    <w:rsid w:val="00E1093B"/>
    <w:rsid w:val="00E14317"/>
    <w:rsid w:val="00E1439F"/>
    <w:rsid w:val="00E17188"/>
    <w:rsid w:val="00E22B48"/>
    <w:rsid w:val="00E22EFE"/>
    <w:rsid w:val="00E23945"/>
    <w:rsid w:val="00E23DC9"/>
    <w:rsid w:val="00E23E42"/>
    <w:rsid w:val="00E24199"/>
    <w:rsid w:val="00E258C6"/>
    <w:rsid w:val="00E259A0"/>
    <w:rsid w:val="00E25DD3"/>
    <w:rsid w:val="00E25EF0"/>
    <w:rsid w:val="00E264F4"/>
    <w:rsid w:val="00E26502"/>
    <w:rsid w:val="00E302AF"/>
    <w:rsid w:val="00E344A4"/>
    <w:rsid w:val="00E35545"/>
    <w:rsid w:val="00E35739"/>
    <w:rsid w:val="00E357F2"/>
    <w:rsid w:val="00E36404"/>
    <w:rsid w:val="00E43123"/>
    <w:rsid w:val="00E4513B"/>
    <w:rsid w:val="00E45FE8"/>
    <w:rsid w:val="00E4667F"/>
    <w:rsid w:val="00E47796"/>
    <w:rsid w:val="00E515E5"/>
    <w:rsid w:val="00E53236"/>
    <w:rsid w:val="00E53532"/>
    <w:rsid w:val="00E544D4"/>
    <w:rsid w:val="00E547E7"/>
    <w:rsid w:val="00E559D5"/>
    <w:rsid w:val="00E55AA2"/>
    <w:rsid w:val="00E6034B"/>
    <w:rsid w:val="00E60BD2"/>
    <w:rsid w:val="00E6333D"/>
    <w:rsid w:val="00E657F8"/>
    <w:rsid w:val="00E662F1"/>
    <w:rsid w:val="00E66CA4"/>
    <w:rsid w:val="00E67837"/>
    <w:rsid w:val="00E70C49"/>
    <w:rsid w:val="00E710DA"/>
    <w:rsid w:val="00E73264"/>
    <w:rsid w:val="00E732E9"/>
    <w:rsid w:val="00E7356D"/>
    <w:rsid w:val="00E73C77"/>
    <w:rsid w:val="00E74424"/>
    <w:rsid w:val="00E750FD"/>
    <w:rsid w:val="00E75715"/>
    <w:rsid w:val="00E7572B"/>
    <w:rsid w:val="00E7769D"/>
    <w:rsid w:val="00E81C7D"/>
    <w:rsid w:val="00E8345B"/>
    <w:rsid w:val="00E83CF1"/>
    <w:rsid w:val="00E867EA"/>
    <w:rsid w:val="00E86F71"/>
    <w:rsid w:val="00E94341"/>
    <w:rsid w:val="00E9566B"/>
    <w:rsid w:val="00E97709"/>
    <w:rsid w:val="00EA0659"/>
    <w:rsid w:val="00EA06AE"/>
    <w:rsid w:val="00EA0D1C"/>
    <w:rsid w:val="00EA1013"/>
    <w:rsid w:val="00EA1C90"/>
    <w:rsid w:val="00EA22AD"/>
    <w:rsid w:val="00EA2B97"/>
    <w:rsid w:val="00EA3B54"/>
    <w:rsid w:val="00EA5787"/>
    <w:rsid w:val="00EA5848"/>
    <w:rsid w:val="00EA6850"/>
    <w:rsid w:val="00EB068C"/>
    <w:rsid w:val="00EB095F"/>
    <w:rsid w:val="00EB7DAB"/>
    <w:rsid w:val="00EC0C5A"/>
    <w:rsid w:val="00EC1854"/>
    <w:rsid w:val="00EC1B29"/>
    <w:rsid w:val="00EC22F5"/>
    <w:rsid w:val="00EC323D"/>
    <w:rsid w:val="00EC4514"/>
    <w:rsid w:val="00EC5599"/>
    <w:rsid w:val="00ED224F"/>
    <w:rsid w:val="00ED3790"/>
    <w:rsid w:val="00ED4C68"/>
    <w:rsid w:val="00ED61A8"/>
    <w:rsid w:val="00ED69F2"/>
    <w:rsid w:val="00ED755D"/>
    <w:rsid w:val="00ED78CD"/>
    <w:rsid w:val="00EE053B"/>
    <w:rsid w:val="00EE4C3B"/>
    <w:rsid w:val="00EE6819"/>
    <w:rsid w:val="00EE707B"/>
    <w:rsid w:val="00EE7DC9"/>
    <w:rsid w:val="00EF0EA2"/>
    <w:rsid w:val="00EF27A5"/>
    <w:rsid w:val="00EF42BA"/>
    <w:rsid w:val="00EF5CD4"/>
    <w:rsid w:val="00EF6166"/>
    <w:rsid w:val="00EF6537"/>
    <w:rsid w:val="00F015B8"/>
    <w:rsid w:val="00F01AD2"/>
    <w:rsid w:val="00F023CE"/>
    <w:rsid w:val="00F038EC"/>
    <w:rsid w:val="00F042D7"/>
    <w:rsid w:val="00F075CE"/>
    <w:rsid w:val="00F077C2"/>
    <w:rsid w:val="00F10EFF"/>
    <w:rsid w:val="00F110BE"/>
    <w:rsid w:val="00F115A1"/>
    <w:rsid w:val="00F116F7"/>
    <w:rsid w:val="00F13181"/>
    <w:rsid w:val="00F13E57"/>
    <w:rsid w:val="00F165C1"/>
    <w:rsid w:val="00F22AE1"/>
    <w:rsid w:val="00F25C5B"/>
    <w:rsid w:val="00F27EC6"/>
    <w:rsid w:val="00F30095"/>
    <w:rsid w:val="00F31896"/>
    <w:rsid w:val="00F31B6D"/>
    <w:rsid w:val="00F32DC4"/>
    <w:rsid w:val="00F34D17"/>
    <w:rsid w:val="00F35A35"/>
    <w:rsid w:val="00F35D7A"/>
    <w:rsid w:val="00F36D4D"/>
    <w:rsid w:val="00F37E76"/>
    <w:rsid w:val="00F40582"/>
    <w:rsid w:val="00F40A1C"/>
    <w:rsid w:val="00F428F7"/>
    <w:rsid w:val="00F43C77"/>
    <w:rsid w:val="00F46680"/>
    <w:rsid w:val="00F47043"/>
    <w:rsid w:val="00F52572"/>
    <w:rsid w:val="00F526D2"/>
    <w:rsid w:val="00F539C2"/>
    <w:rsid w:val="00F554ED"/>
    <w:rsid w:val="00F55CEA"/>
    <w:rsid w:val="00F563D3"/>
    <w:rsid w:val="00F60184"/>
    <w:rsid w:val="00F62458"/>
    <w:rsid w:val="00F64E3D"/>
    <w:rsid w:val="00F65342"/>
    <w:rsid w:val="00F70153"/>
    <w:rsid w:val="00F7022A"/>
    <w:rsid w:val="00F705C4"/>
    <w:rsid w:val="00F74966"/>
    <w:rsid w:val="00F757BD"/>
    <w:rsid w:val="00F829D8"/>
    <w:rsid w:val="00F83319"/>
    <w:rsid w:val="00F849F0"/>
    <w:rsid w:val="00F84B36"/>
    <w:rsid w:val="00F85DEE"/>
    <w:rsid w:val="00F865E4"/>
    <w:rsid w:val="00F90352"/>
    <w:rsid w:val="00F9080C"/>
    <w:rsid w:val="00F918E2"/>
    <w:rsid w:val="00F924C0"/>
    <w:rsid w:val="00F93621"/>
    <w:rsid w:val="00F94D19"/>
    <w:rsid w:val="00F95660"/>
    <w:rsid w:val="00F974DA"/>
    <w:rsid w:val="00FA2843"/>
    <w:rsid w:val="00FA2CCC"/>
    <w:rsid w:val="00FA3409"/>
    <w:rsid w:val="00FA4271"/>
    <w:rsid w:val="00FA7AFC"/>
    <w:rsid w:val="00FB042E"/>
    <w:rsid w:val="00FB370B"/>
    <w:rsid w:val="00FB4E48"/>
    <w:rsid w:val="00FB507A"/>
    <w:rsid w:val="00FB50FC"/>
    <w:rsid w:val="00FB5610"/>
    <w:rsid w:val="00FB61FE"/>
    <w:rsid w:val="00FC2172"/>
    <w:rsid w:val="00FC273F"/>
    <w:rsid w:val="00FC68C3"/>
    <w:rsid w:val="00FD0D42"/>
    <w:rsid w:val="00FD148C"/>
    <w:rsid w:val="00FD1E28"/>
    <w:rsid w:val="00FD2F0B"/>
    <w:rsid w:val="00FD3546"/>
    <w:rsid w:val="00FD392E"/>
    <w:rsid w:val="00FD4181"/>
    <w:rsid w:val="00FD4574"/>
    <w:rsid w:val="00FD535A"/>
    <w:rsid w:val="00FE0DCE"/>
    <w:rsid w:val="00FE1A54"/>
    <w:rsid w:val="00FE350E"/>
    <w:rsid w:val="00FE6AFD"/>
    <w:rsid w:val="00FE6EF1"/>
    <w:rsid w:val="00FE7C71"/>
    <w:rsid w:val="00FE7F8F"/>
    <w:rsid w:val="00FF0853"/>
    <w:rsid w:val="00FF11FB"/>
    <w:rsid w:val="00FF12C5"/>
    <w:rsid w:val="00FF16F3"/>
    <w:rsid w:val="00FF17FD"/>
    <w:rsid w:val="00FF2454"/>
    <w:rsid w:val="00FF27C6"/>
    <w:rsid w:val="00FF2A18"/>
    <w:rsid w:val="00FF465B"/>
    <w:rsid w:val="00FF4C0B"/>
    <w:rsid w:val="00FF61DD"/>
    <w:rsid w:val="00FF64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754"/>
    <w:rPr>
      <w:sz w:val="24"/>
      <w:szCs w:val="24"/>
    </w:rPr>
  </w:style>
  <w:style w:type="paragraph" w:styleId="Ttulo1">
    <w:name w:val="heading 1"/>
    <w:basedOn w:val="Normal"/>
    <w:next w:val="Normal"/>
    <w:link w:val="Ttulo1Car"/>
    <w:uiPriority w:val="9"/>
    <w:qFormat/>
    <w:rsid w:val="005A7F7F"/>
    <w:pPr>
      <w:autoSpaceDE w:val="0"/>
      <w:autoSpaceDN w:val="0"/>
      <w:adjustRightInd w:val="0"/>
      <w:outlineLvl w:val="0"/>
    </w:pPr>
    <w:rPr>
      <w:rFonts w:ascii="Courier New" w:hAnsi="Courier New" w:cs="Courier New"/>
      <w:b/>
      <w:bCs/>
      <w:color w:val="000000"/>
      <w:sz w:val="32"/>
      <w:szCs w:val="32"/>
      <w:lang w:eastAsia="en-US"/>
    </w:rPr>
  </w:style>
  <w:style w:type="paragraph" w:styleId="Ttulo2">
    <w:name w:val="heading 2"/>
    <w:basedOn w:val="Normal"/>
    <w:next w:val="Normal"/>
    <w:link w:val="Ttulo2Car"/>
    <w:uiPriority w:val="99"/>
    <w:semiHidden/>
    <w:unhideWhenUsed/>
    <w:qFormat/>
    <w:rsid w:val="005A7F7F"/>
    <w:pPr>
      <w:autoSpaceDE w:val="0"/>
      <w:autoSpaceDN w:val="0"/>
      <w:adjustRightInd w:val="0"/>
      <w:outlineLvl w:val="1"/>
    </w:pPr>
    <w:rPr>
      <w:rFonts w:ascii="Courier New" w:hAnsi="Courier New" w:cs="Courier New"/>
      <w:b/>
      <w:bCs/>
      <w:i/>
      <w:iCs/>
      <w:color w:val="000000"/>
      <w:sz w:val="28"/>
      <w:szCs w:val="28"/>
      <w:lang w:eastAsia="en-US"/>
    </w:rPr>
  </w:style>
  <w:style w:type="paragraph" w:styleId="Ttulo3">
    <w:name w:val="heading 3"/>
    <w:basedOn w:val="Normal"/>
    <w:next w:val="Normal"/>
    <w:link w:val="Ttulo3Car"/>
    <w:qFormat/>
    <w:rsid w:val="00702460"/>
    <w:pPr>
      <w:keepNext/>
      <w:spacing w:before="240" w:after="60"/>
      <w:outlineLvl w:val="2"/>
    </w:pPr>
    <w:rPr>
      <w:rFonts w:ascii="Arial" w:hAnsi="Arial" w:cs="Arial"/>
      <w:b/>
      <w:bCs/>
      <w:sz w:val="26"/>
      <w:szCs w:val="26"/>
    </w:rPr>
  </w:style>
  <w:style w:type="paragraph" w:styleId="Ttulo4">
    <w:name w:val="heading 4"/>
    <w:basedOn w:val="Normal"/>
    <w:link w:val="Ttulo4Car"/>
    <w:qFormat/>
    <w:rsid w:val="005E441F"/>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3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2460"/>
    <w:pPr>
      <w:spacing w:before="100" w:beforeAutospacing="1" w:after="100" w:afterAutospacing="1"/>
    </w:pPr>
  </w:style>
  <w:style w:type="character" w:styleId="Textoennegrita">
    <w:name w:val="Strong"/>
    <w:qFormat/>
    <w:rsid w:val="00702460"/>
    <w:rPr>
      <w:b/>
      <w:bCs/>
    </w:rPr>
  </w:style>
  <w:style w:type="character" w:customStyle="1" w:styleId="news-body-text">
    <w:name w:val="news-body-text"/>
    <w:basedOn w:val="Fuentedeprrafopredeter"/>
    <w:rsid w:val="00702460"/>
  </w:style>
  <w:style w:type="character" w:customStyle="1" w:styleId="articletext1">
    <w:name w:val="articletext1"/>
    <w:rsid w:val="005E441F"/>
    <w:rPr>
      <w:rFonts w:ascii="Verdana" w:hAnsi="Verdana" w:hint="default"/>
      <w:b w:val="0"/>
      <w:bCs w:val="0"/>
      <w:color w:val="000000"/>
      <w:sz w:val="26"/>
      <w:szCs w:val="26"/>
    </w:rPr>
  </w:style>
  <w:style w:type="character" w:customStyle="1" w:styleId="articlesubtitle1">
    <w:name w:val="articlesubtitle1"/>
    <w:rsid w:val="005E441F"/>
    <w:rPr>
      <w:rFonts w:ascii="Verdana" w:hAnsi="Verdana" w:hint="default"/>
      <w:b/>
      <w:bCs/>
      <w:color w:val="800000"/>
      <w:sz w:val="30"/>
      <w:szCs w:val="30"/>
    </w:rPr>
  </w:style>
  <w:style w:type="character" w:styleId="Hipervnculo">
    <w:name w:val="Hyperlink"/>
    <w:rsid w:val="00C80073"/>
    <w:rPr>
      <w:strike w:val="0"/>
      <w:dstrike w:val="0"/>
      <w:color w:val="0000FF"/>
      <w:u w:val="none"/>
      <w:effect w:val="none"/>
    </w:rPr>
  </w:style>
  <w:style w:type="paragraph" w:customStyle="1" w:styleId="Default">
    <w:name w:val="Default"/>
    <w:rsid w:val="00CC1208"/>
    <w:pPr>
      <w:autoSpaceDE w:val="0"/>
      <w:autoSpaceDN w:val="0"/>
      <w:adjustRightInd w:val="0"/>
    </w:pPr>
    <w:rPr>
      <w:rFonts w:ascii="Arial" w:hAnsi="Arial" w:cs="Arial"/>
      <w:color w:val="000000"/>
      <w:sz w:val="24"/>
      <w:szCs w:val="24"/>
    </w:rPr>
  </w:style>
  <w:style w:type="character" w:customStyle="1" w:styleId="ilad1">
    <w:name w:val="il_ad1"/>
    <w:basedOn w:val="Fuentedeprrafopredeter"/>
    <w:rsid w:val="00CC1208"/>
  </w:style>
  <w:style w:type="paragraph" w:styleId="Prrafodelista">
    <w:name w:val="List Paragraph"/>
    <w:basedOn w:val="Normal"/>
    <w:uiPriority w:val="34"/>
    <w:qFormat/>
    <w:rsid w:val="008643DB"/>
    <w:pPr>
      <w:spacing w:after="200" w:line="276" w:lineRule="auto"/>
      <w:ind w:left="720"/>
      <w:contextualSpacing/>
    </w:pPr>
    <w:rPr>
      <w:rFonts w:ascii="Calibri" w:eastAsia="Calibri" w:hAnsi="Calibri"/>
      <w:sz w:val="22"/>
      <w:szCs w:val="22"/>
      <w:lang w:eastAsia="en-US"/>
    </w:rPr>
  </w:style>
  <w:style w:type="character" w:styleId="Refdecomentario">
    <w:name w:val="annotation reference"/>
    <w:rsid w:val="005F1B1E"/>
    <w:rPr>
      <w:sz w:val="16"/>
      <w:szCs w:val="16"/>
    </w:rPr>
  </w:style>
  <w:style w:type="paragraph" w:styleId="Textocomentario">
    <w:name w:val="annotation text"/>
    <w:basedOn w:val="Normal"/>
    <w:link w:val="TextocomentarioCar"/>
    <w:rsid w:val="005F1B1E"/>
    <w:rPr>
      <w:sz w:val="20"/>
      <w:szCs w:val="20"/>
    </w:rPr>
  </w:style>
  <w:style w:type="character" w:customStyle="1" w:styleId="TextocomentarioCar">
    <w:name w:val="Texto comentario Car"/>
    <w:basedOn w:val="Fuentedeprrafopredeter"/>
    <w:link w:val="Textocomentario"/>
    <w:rsid w:val="005F1B1E"/>
  </w:style>
  <w:style w:type="paragraph" w:styleId="Asuntodelcomentario">
    <w:name w:val="annotation subject"/>
    <w:basedOn w:val="Textocomentario"/>
    <w:next w:val="Textocomentario"/>
    <w:link w:val="AsuntodelcomentarioCar"/>
    <w:rsid w:val="005F1B1E"/>
    <w:rPr>
      <w:b/>
      <w:bCs/>
      <w:lang w:val="x-none" w:eastAsia="x-none"/>
    </w:rPr>
  </w:style>
  <w:style w:type="character" w:customStyle="1" w:styleId="AsuntodelcomentarioCar">
    <w:name w:val="Asunto del comentario Car"/>
    <w:link w:val="Asuntodelcomentario"/>
    <w:rsid w:val="005F1B1E"/>
    <w:rPr>
      <w:b/>
      <w:bCs/>
    </w:rPr>
  </w:style>
  <w:style w:type="paragraph" w:styleId="Textodeglobo">
    <w:name w:val="Balloon Text"/>
    <w:basedOn w:val="Normal"/>
    <w:link w:val="TextodegloboCar"/>
    <w:rsid w:val="005F1B1E"/>
    <w:rPr>
      <w:rFonts w:ascii="Tahoma" w:hAnsi="Tahoma"/>
      <w:sz w:val="16"/>
      <w:szCs w:val="16"/>
      <w:lang w:val="x-none" w:eastAsia="x-none"/>
    </w:rPr>
  </w:style>
  <w:style w:type="character" w:customStyle="1" w:styleId="TextodegloboCar">
    <w:name w:val="Texto de globo Car"/>
    <w:link w:val="Textodeglobo"/>
    <w:rsid w:val="005F1B1E"/>
    <w:rPr>
      <w:rFonts w:ascii="Tahoma" w:hAnsi="Tahoma" w:cs="Tahoma"/>
      <w:sz w:val="16"/>
      <w:szCs w:val="16"/>
    </w:rPr>
  </w:style>
  <w:style w:type="character" w:styleId="Hipervnculovisitado">
    <w:name w:val="FollowedHyperlink"/>
    <w:rsid w:val="00B936E2"/>
    <w:rPr>
      <w:color w:val="800080"/>
      <w:u w:val="single"/>
    </w:rPr>
  </w:style>
  <w:style w:type="character" w:customStyle="1" w:styleId="Ttulo1Car">
    <w:name w:val="Título 1 Car"/>
    <w:link w:val="Ttulo1"/>
    <w:uiPriority w:val="9"/>
    <w:rsid w:val="005A7F7F"/>
    <w:rPr>
      <w:rFonts w:ascii="Courier New" w:hAnsi="Courier New" w:cs="Courier New"/>
      <w:b/>
      <w:bCs/>
      <w:color w:val="000000"/>
      <w:sz w:val="32"/>
      <w:szCs w:val="32"/>
      <w:lang w:eastAsia="en-US"/>
    </w:rPr>
  </w:style>
  <w:style w:type="character" w:customStyle="1" w:styleId="Ttulo2Car">
    <w:name w:val="Título 2 Car"/>
    <w:link w:val="Ttulo2"/>
    <w:uiPriority w:val="99"/>
    <w:semiHidden/>
    <w:rsid w:val="005A7F7F"/>
    <w:rPr>
      <w:rFonts w:ascii="Courier New" w:hAnsi="Courier New" w:cs="Courier New"/>
      <w:b/>
      <w:bCs/>
      <w:i/>
      <w:iCs/>
      <w:color w:val="000000"/>
      <w:sz w:val="28"/>
      <w:szCs w:val="28"/>
      <w:lang w:eastAsia="en-US"/>
    </w:rPr>
  </w:style>
  <w:style w:type="character" w:customStyle="1" w:styleId="f1">
    <w:name w:val="f1"/>
    <w:rsid w:val="005A7F7F"/>
    <w:rPr>
      <w:color w:val="0000FF"/>
      <w:sz w:val="30"/>
      <w:szCs w:val="30"/>
    </w:rPr>
  </w:style>
  <w:style w:type="character" w:customStyle="1" w:styleId="b1">
    <w:name w:val="b1"/>
    <w:rsid w:val="005A7F7F"/>
    <w:rPr>
      <w:color w:val="000000"/>
    </w:rPr>
  </w:style>
  <w:style w:type="paragraph" w:customStyle="1" w:styleId="p">
    <w:name w:val="p"/>
    <w:basedOn w:val="Normal"/>
    <w:rsid w:val="005A7F7F"/>
    <w:pPr>
      <w:spacing w:before="100" w:beforeAutospacing="1"/>
    </w:pPr>
  </w:style>
  <w:style w:type="paragraph" w:customStyle="1" w:styleId="q">
    <w:name w:val="q"/>
    <w:basedOn w:val="Normal"/>
    <w:rsid w:val="005A7F7F"/>
    <w:pPr>
      <w:spacing w:before="100" w:beforeAutospacing="1"/>
      <w:ind w:left="480"/>
    </w:pPr>
  </w:style>
  <w:style w:type="character" w:customStyle="1" w:styleId="a1">
    <w:name w:val="a1"/>
    <w:rsid w:val="005A7F7F"/>
    <w:rPr>
      <w:rFonts w:ascii="Arial Unicode MS" w:eastAsia="Arial Unicode MS" w:hAnsi="Arial Unicode MS" w:cs="Arial Unicode MS" w:hint="eastAsia"/>
      <w:color w:val="008000"/>
      <w:sz w:val="26"/>
      <w:szCs w:val="26"/>
    </w:rPr>
  </w:style>
  <w:style w:type="character" w:customStyle="1" w:styleId="d1">
    <w:name w:val="d1"/>
    <w:rsid w:val="005A7F7F"/>
    <w:rPr>
      <w:color w:val="0000FF"/>
    </w:rPr>
  </w:style>
  <w:style w:type="character" w:customStyle="1" w:styleId="g1">
    <w:name w:val="g1"/>
    <w:rsid w:val="005A7F7F"/>
    <w:rPr>
      <w:color w:val="B3B3B3"/>
    </w:rPr>
  </w:style>
  <w:style w:type="paragraph" w:styleId="Piedepgina">
    <w:name w:val="footer"/>
    <w:basedOn w:val="Normal"/>
    <w:link w:val="PiedepginaCar"/>
    <w:uiPriority w:val="99"/>
    <w:rsid w:val="005A7F7F"/>
    <w:pPr>
      <w:tabs>
        <w:tab w:val="center" w:pos="4252"/>
        <w:tab w:val="right" w:pos="8504"/>
      </w:tabs>
    </w:pPr>
  </w:style>
  <w:style w:type="character" w:customStyle="1" w:styleId="PiedepginaCar">
    <w:name w:val="Pie de página Car"/>
    <w:link w:val="Piedepgina"/>
    <w:uiPriority w:val="99"/>
    <w:rsid w:val="005A7F7F"/>
    <w:rPr>
      <w:sz w:val="24"/>
      <w:szCs w:val="24"/>
    </w:rPr>
  </w:style>
  <w:style w:type="character" w:styleId="Nmerodepgina">
    <w:name w:val="page number"/>
    <w:rsid w:val="005A7F7F"/>
  </w:style>
  <w:style w:type="paragraph" w:customStyle="1" w:styleId="Pa13">
    <w:name w:val="Pa13"/>
    <w:basedOn w:val="Normal"/>
    <w:next w:val="Normal"/>
    <w:rsid w:val="005A7F7F"/>
    <w:pPr>
      <w:autoSpaceDE w:val="0"/>
      <w:autoSpaceDN w:val="0"/>
      <w:adjustRightInd w:val="0"/>
      <w:spacing w:line="201" w:lineRule="atLeast"/>
    </w:pPr>
  </w:style>
  <w:style w:type="paragraph" w:customStyle="1" w:styleId="Prrafodelista1">
    <w:name w:val="Párrafo de lista1"/>
    <w:basedOn w:val="Normal"/>
    <w:rsid w:val="005A7F7F"/>
    <w:pPr>
      <w:spacing w:after="200" w:line="276" w:lineRule="auto"/>
      <w:ind w:left="720"/>
      <w:contextualSpacing/>
    </w:pPr>
    <w:rPr>
      <w:rFonts w:ascii="Calibri" w:hAnsi="Calibri"/>
      <w:sz w:val="22"/>
      <w:szCs w:val="22"/>
      <w:lang w:val="es-ES_tradnl" w:eastAsia="en-US"/>
    </w:rPr>
  </w:style>
  <w:style w:type="character" w:customStyle="1" w:styleId="ft">
    <w:name w:val="ft"/>
    <w:rsid w:val="005A7F7F"/>
  </w:style>
  <w:style w:type="character" w:customStyle="1" w:styleId="st1">
    <w:name w:val="st1"/>
    <w:rsid w:val="005A7F7F"/>
  </w:style>
  <w:style w:type="character" w:styleId="nfasis">
    <w:name w:val="Emphasis"/>
    <w:qFormat/>
    <w:rsid w:val="005A7F7F"/>
    <w:rPr>
      <w:b/>
      <w:bCs/>
      <w:i w:val="0"/>
      <w:iCs w:val="0"/>
    </w:rPr>
  </w:style>
  <w:style w:type="character" w:customStyle="1" w:styleId="text">
    <w:name w:val="text"/>
    <w:rsid w:val="005A7F7F"/>
  </w:style>
  <w:style w:type="table" w:styleId="Sombreadomedio1-nfasis5">
    <w:name w:val="Medium Shading 1 Accent 5"/>
    <w:basedOn w:val="Tablanormal"/>
    <w:uiPriority w:val="63"/>
    <w:rsid w:val="005A7F7F"/>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Encabezado">
    <w:name w:val="header"/>
    <w:basedOn w:val="Normal"/>
    <w:link w:val="EncabezadoCar"/>
    <w:rsid w:val="005A7F7F"/>
    <w:pPr>
      <w:tabs>
        <w:tab w:val="center" w:pos="4252"/>
        <w:tab w:val="right" w:pos="8504"/>
      </w:tabs>
    </w:pPr>
  </w:style>
  <w:style w:type="character" w:customStyle="1" w:styleId="EncabezadoCar">
    <w:name w:val="Encabezado Car"/>
    <w:link w:val="Encabezado"/>
    <w:rsid w:val="005A7F7F"/>
    <w:rPr>
      <w:sz w:val="24"/>
      <w:szCs w:val="24"/>
    </w:rPr>
  </w:style>
  <w:style w:type="character" w:customStyle="1" w:styleId="Ttulo3Car">
    <w:name w:val="Título 3 Car"/>
    <w:link w:val="Ttulo3"/>
    <w:uiPriority w:val="99"/>
    <w:rsid w:val="005A7F7F"/>
    <w:rPr>
      <w:rFonts w:ascii="Arial" w:hAnsi="Arial" w:cs="Arial"/>
      <w:b/>
      <w:bCs/>
      <w:sz w:val="26"/>
      <w:szCs w:val="26"/>
    </w:rPr>
  </w:style>
  <w:style w:type="character" w:customStyle="1" w:styleId="Ttulo4Car">
    <w:name w:val="Título 4 Car"/>
    <w:link w:val="Ttulo4"/>
    <w:rsid w:val="005A7F7F"/>
    <w:rPr>
      <w:b/>
      <w:bCs/>
      <w:sz w:val="24"/>
      <w:szCs w:val="24"/>
    </w:rPr>
  </w:style>
  <w:style w:type="numbering" w:customStyle="1" w:styleId="Sinlista1">
    <w:name w:val="Sin lista1"/>
    <w:next w:val="Sinlista"/>
    <w:uiPriority w:val="99"/>
    <w:semiHidden/>
    <w:unhideWhenUsed/>
    <w:rsid w:val="005A7F7F"/>
  </w:style>
  <w:style w:type="character" w:customStyle="1" w:styleId="TextocomentarioCar1">
    <w:name w:val="Texto comentario Car1"/>
    <w:rsid w:val="005A7F7F"/>
  </w:style>
  <w:style w:type="character" w:customStyle="1" w:styleId="AsuntodelcomentarioCar1">
    <w:name w:val="Asunto del comentario Car1"/>
    <w:rsid w:val="005A7F7F"/>
    <w:rPr>
      <w:b/>
      <w:bCs/>
    </w:rPr>
  </w:style>
  <w:style w:type="table" w:customStyle="1" w:styleId="Tablaconcuadrcula1">
    <w:name w:val="Tabla con cuadrícula1"/>
    <w:basedOn w:val="Tablanormal"/>
    <w:next w:val="Tablaconcuadrcula"/>
    <w:rsid w:val="005A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A7F7F"/>
  </w:style>
  <w:style w:type="numbering" w:customStyle="1" w:styleId="Sinlista2">
    <w:name w:val="Sin lista2"/>
    <w:next w:val="Sinlista"/>
    <w:uiPriority w:val="99"/>
    <w:semiHidden/>
    <w:unhideWhenUsed/>
    <w:rsid w:val="005A7F7F"/>
  </w:style>
  <w:style w:type="numbering" w:customStyle="1" w:styleId="Sinlista3">
    <w:name w:val="Sin lista3"/>
    <w:next w:val="Sinlista"/>
    <w:uiPriority w:val="99"/>
    <w:semiHidden/>
    <w:unhideWhenUsed/>
    <w:rsid w:val="005A7F7F"/>
  </w:style>
  <w:style w:type="numbering" w:customStyle="1" w:styleId="Sinlista4">
    <w:name w:val="Sin lista4"/>
    <w:next w:val="Sinlista"/>
    <w:uiPriority w:val="99"/>
    <w:semiHidden/>
    <w:unhideWhenUsed/>
    <w:rsid w:val="005A7F7F"/>
  </w:style>
  <w:style w:type="numbering" w:customStyle="1" w:styleId="Sinlista111">
    <w:name w:val="Sin lista111"/>
    <w:next w:val="Sinlista"/>
    <w:uiPriority w:val="99"/>
    <w:semiHidden/>
    <w:unhideWhenUsed/>
    <w:rsid w:val="005A7F7F"/>
  </w:style>
  <w:style w:type="numbering" w:customStyle="1" w:styleId="Sinlista21">
    <w:name w:val="Sin lista21"/>
    <w:next w:val="Sinlista"/>
    <w:uiPriority w:val="99"/>
    <w:semiHidden/>
    <w:unhideWhenUsed/>
    <w:rsid w:val="005A7F7F"/>
  </w:style>
  <w:style w:type="numbering" w:customStyle="1" w:styleId="Sinlista31">
    <w:name w:val="Sin lista31"/>
    <w:next w:val="Sinlista"/>
    <w:uiPriority w:val="99"/>
    <w:semiHidden/>
    <w:unhideWhenUsed/>
    <w:rsid w:val="005A7F7F"/>
  </w:style>
  <w:style w:type="numbering" w:customStyle="1" w:styleId="Sinlista41">
    <w:name w:val="Sin lista41"/>
    <w:next w:val="Sinlista"/>
    <w:uiPriority w:val="99"/>
    <w:semiHidden/>
    <w:unhideWhenUsed/>
    <w:rsid w:val="005A7F7F"/>
  </w:style>
  <w:style w:type="paragraph" w:styleId="z-Finaldelformulario">
    <w:name w:val="HTML Bottom of Form"/>
    <w:basedOn w:val="Normal"/>
    <w:next w:val="Normal"/>
    <w:link w:val="z-FinaldelformularioCar"/>
    <w:hidden/>
    <w:rsid w:val="005A7F7F"/>
    <w:pPr>
      <w:pBdr>
        <w:top w:val="single" w:sz="6" w:space="1" w:color="auto"/>
      </w:pBdr>
      <w:jc w:val="center"/>
    </w:pPr>
    <w:rPr>
      <w:rFonts w:ascii="Arial" w:hAnsi="Arial" w:cs="Arial"/>
      <w:vanish/>
      <w:sz w:val="16"/>
      <w:szCs w:val="16"/>
    </w:rPr>
  </w:style>
  <w:style w:type="character" w:customStyle="1" w:styleId="z-FinaldelformularioCar">
    <w:name w:val="z-Final del formulario Car"/>
    <w:link w:val="z-Finaldelformulario"/>
    <w:rsid w:val="005A7F7F"/>
    <w:rPr>
      <w:rFonts w:ascii="Arial" w:hAnsi="Arial" w:cs="Arial"/>
      <w:vanish/>
      <w:sz w:val="16"/>
      <w:szCs w:val="16"/>
    </w:rPr>
  </w:style>
  <w:style w:type="table" w:customStyle="1" w:styleId="Tablaconcuadrcula36">
    <w:name w:val="Tabla con cuadrícula36"/>
    <w:basedOn w:val="Tablanormal"/>
    <w:next w:val="Tablaconcuadrcula"/>
    <w:uiPriority w:val="59"/>
    <w:rsid w:val="001371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B47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DF6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0165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8D03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AE19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2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D86C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37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3725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9"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754"/>
    <w:rPr>
      <w:sz w:val="24"/>
      <w:szCs w:val="24"/>
    </w:rPr>
  </w:style>
  <w:style w:type="paragraph" w:styleId="Ttulo1">
    <w:name w:val="heading 1"/>
    <w:basedOn w:val="Normal"/>
    <w:next w:val="Normal"/>
    <w:link w:val="Ttulo1Car"/>
    <w:uiPriority w:val="9"/>
    <w:qFormat/>
    <w:rsid w:val="005A7F7F"/>
    <w:pPr>
      <w:autoSpaceDE w:val="0"/>
      <w:autoSpaceDN w:val="0"/>
      <w:adjustRightInd w:val="0"/>
      <w:outlineLvl w:val="0"/>
    </w:pPr>
    <w:rPr>
      <w:rFonts w:ascii="Courier New" w:hAnsi="Courier New" w:cs="Courier New"/>
      <w:b/>
      <w:bCs/>
      <w:color w:val="000000"/>
      <w:sz w:val="32"/>
      <w:szCs w:val="32"/>
      <w:lang w:eastAsia="en-US"/>
    </w:rPr>
  </w:style>
  <w:style w:type="paragraph" w:styleId="Ttulo2">
    <w:name w:val="heading 2"/>
    <w:basedOn w:val="Normal"/>
    <w:next w:val="Normal"/>
    <w:link w:val="Ttulo2Car"/>
    <w:uiPriority w:val="99"/>
    <w:semiHidden/>
    <w:unhideWhenUsed/>
    <w:qFormat/>
    <w:rsid w:val="005A7F7F"/>
    <w:pPr>
      <w:autoSpaceDE w:val="0"/>
      <w:autoSpaceDN w:val="0"/>
      <w:adjustRightInd w:val="0"/>
      <w:outlineLvl w:val="1"/>
    </w:pPr>
    <w:rPr>
      <w:rFonts w:ascii="Courier New" w:hAnsi="Courier New" w:cs="Courier New"/>
      <w:b/>
      <w:bCs/>
      <w:i/>
      <w:iCs/>
      <w:color w:val="000000"/>
      <w:sz w:val="28"/>
      <w:szCs w:val="28"/>
      <w:lang w:eastAsia="en-US"/>
    </w:rPr>
  </w:style>
  <w:style w:type="paragraph" w:styleId="Ttulo3">
    <w:name w:val="heading 3"/>
    <w:basedOn w:val="Normal"/>
    <w:next w:val="Normal"/>
    <w:link w:val="Ttulo3Car"/>
    <w:qFormat/>
    <w:rsid w:val="00702460"/>
    <w:pPr>
      <w:keepNext/>
      <w:spacing w:before="240" w:after="60"/>
      <w:outlineLvl w:val="2"/>
    </w:pPr>
    <w:rPr>
      <w:rFonts w:ascii="Arial" w:hAnsi="Arial" w:cs="Arial"/>
      <w:b/>
      <w:bCs/>
      <w:sz w:val="26"/>
      <w:szCs w:val="26"/>
    </w:rPr>
  </w:style>
  <w:style w:type="paragraph" w:styleId="Ttulo4">
    <w:name w:val="heading 4"/>
    <w:basedOn w:val="Normal"/>
    <w:link w:val="Ttulo4Car"/>
    <w:qFormat/>
    <w:rsid w:val="005E441F"/>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B31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02460"/>
    <w:pPr>
      <w:spacing w:before="100" w:beforeAutospacing="1" w:after="100" w:afterAutospacing="1"/>
    </w:pPr>
  </w:style>
  <w:style w:type="character" w:styleId="Textoennegrita">
    <w:name w:val="Strong"/>
    <w:qFormat/>
    <w:rsid w:val="00702460"/>
    <w:rPr>
      <w:b/>
      <w:bCs/>
    </w:rPr>
  </w:style>
  <w:style w:type="character" w:customStyle="1" w:styleId="news-body-text">
    <w:name w:val="news-body-text"/>
    <w:basedOn w:val="Fuentedeprrafopredeter"/>
    <w:rsid w:val="00702460"/>
  </w:style>
  <w:style w:type="character" w:customStyle="1" w:styleId="articletext1">
    <w:name w:val="articletext1"/>
    <w:rsid w:val="005E441F"/>
    <w:rPr>
      <w:rFonts w:ascii="Verdana" w:hAnsi="Verdana" w:hint="default"/>
      <w:b w:val="0"/>
      <w:bCs w:val="0"/>
      <w:color w:val="000000"/>
      <w:sz w:val="26"/>
      <w:szCs w:val="26"/>
    </w:rPr>
  </w:style>
  <w:style w:type="character" w:customStyle="1" w:styleId="articlesubtitle1">
    <w:name w:val="articlesubtitle1"/>
    <w:rsid w:val="005E441F"/>
    <w:rPr>
      <w:rFonts w:ascii="Verdana" w:hAnsi="Verdana" w:hint="default"/>
      <w:b/>
      <w:bCs/>
      <w:color w:val="800000"/>
      <w:sz w:val="30"/>
      <w:szCs w:val="30"/>
    </w:rPr>
  </w:style>
  <w:style w:type="character" w:styleId="Hipervnculo">
    <w:name w:val="Hyperlink"/>
    <w:rsid w:val="00C80073"/>
    <w:rPr>
      <w:strike w:val="0"/>
      <w:dstrike w:val="0"/>
      <w:color w:val="0000FF"/>
      <w:u w:val="none"/>
      <w:effect w:val="none"/>
    </w:rPr>
  </w:style>
  <w:style w:type="paragraph" w:customStyle="1" w:styleId="Default">
    <w:name w:val="Default"/>
    <w:rsid w:val="00CC1208"/>
    <w:pPr>
      <w:autoSpaceDE w:val="0"/>
      <w:autoSpaceDN w:val="0"/>
      <w:adjustRightInd w:val="0"/>
    </w:pPr>
    <w:rPr>
      <w:rFonts w:ascii="Arial" w:hAnsi="Arial" w:cs="Arial"/>
      <w:color w:val="000000"/>
      <w:sz w:val="24"/>
      <w:szCs w:val="24"/>
    </w:rPr>
  </w:style>
  <w:style w:type="character" w:customStyle="1" w:styleId="ilad1">
    <w:name w:val="il_ad1"/>
    <w:basedOn w:val="Fuentedeprrafopredeter"/>
    <w:rsid w:val="00CC1208"/>
  </w:style>
  <w:style w:type="paragraph" w:styleId="Prrafodelista">
    <w:name w:val="List Paragraph"/>
    <w:basedOn w:val="Normal"/>
    <w:uiPriority w:val="34"/>
    <w:qFormat/>
    <w:rsid w:val="008643DB"/>
    <w:pPr>
      <w:spacing w:after="200" w:line="276" w:lineRule="auto"/>
      <w:ind w:left="720"/>
      <w:contextualSpacing/>
    </w:pPr>
    <w:rPr>
      <w:rFonts w:ascii="Calibri" w:eastAsia="Calibri" w:hAnsi="Calibri"/>
      <w:sz w:val="22"/>
      <w:szCs w:val="22"/>
      <w:lang w:eastAsia="en-US"/>
    </w:rPr>
  </w:style>
  <w:style w:type="character" w:styleId="Refdecomentario">
    <w:name w:val="annotation reference"/>
    <w:rsid w:val="005F1B1E"/>
    <w:rPr>
      <w:sz w:val="16"/>
      <w:szCs w:val="16"/>
    </w:rPr>
  </w:style>
  <w:style w:type="paragraph" w:styleId="Textocomentario">
    <w:name w:val="annotation text"/>
    <w:basedOn w:val="Normal"/>
    <w:link w:val="TextocomentarioCar"/>
    <w:rsid w:val="005F1B1E"/>
    <w:rPr>
      <w:sz w:val="20"/>
      <w:szCs w:val="20"/>
    </w:rPr>
  </w:style>
  <w:style w:type="character" w:customStyle="1" w:styleId="TextocomentarioCar">
    <w:name w:val="Texto comentario Car"/>
    <w:basedOn w:val="Fuentedeprrafopredeter"/>
    <w:link w:val="Textocomentario"/>
    <w:rsid w:val="005F1B1E"/>
  </w:style>
  <w:style w:type="paragraph" w:styleId="Asuntodelcomentario">
    <w:name w:val="annotation subject"/>
    <w:basedOn w:val="Textocomentario"/>
    <w:next w:val="Textocomentario"/>
    <w:link w:val="AsuntodelcomentarioCar"/>
    <w:rsid w:val="005F1B1E"/>
    <w:rPr>
      <w:b/>
      <w:bCs/>
      <w:lang w:val="x-none" w:eastAsia="x-none"/>
    </w:rPr>
  </w:style>
  <w:style w:type="character" w:customStyle="1" w:styleId="AsuntodelcomentarioCar">
    <w:name w:val="Asunto del comentario Car"/>
    <w:link w:val="Asuntodelcomentario"/>
    <w:rsid w:val="005F1B1E"/>
    <w:rPr>
      <w:b/>
      <w:bCs/>
    </w:rPr>
  </w:style>
  <w:style w:type="paragraph" w:styleId="Textodeglobo">
    <w:name w:val="Balloon Text"/>
    <w:basedOn w:val="Normal"/>
    <w:link w:val="TextodegloboCar"/>
    <w:rsid w:val="005F1B1E"/>
    <w:rPr>
      <w:rFonts w:ascii="Tahoma" w:hAnsi="Tahoma"/>
      <w:sz w:val="16"/>
      <w:szCs w:val="16"/>
      <w:lang w:val="x-none" w:eastAsia="x-none"/>
    </w:rPr>
  </w:style>
  <w:style w:type="character" w:customStyle="1" w:styleId="TextodegloboCar">
    <w:name w:val="Texto de globo Car"/>
    <w:link w:val="Textodeglobo"/>
    <w:rsid w:val="005F1B1E"/>
    <w:rPr>
      <w:rFonts w:ascii="Tahoma" w:hAnsi="Tahoma" w:cs="Tahoma"/>
      <w:sz w:val="16"/>
      <w:szCs w:val="16"/>
    </w:rPr>
  </w:style>
  <w:style w:type="character" w:styleId="Hipervnculovisitado">
    <w:name w:val="FollowedHyperlink"/>
    <w:rsid w:val="00B936E2"/>
    <w:rPr>
      <w:color w:val="800080"/>
      <w:u w:val="single"/>
    </w:rPr>
  </w:style>
  <w:style w:type="character" w:customStyle="1" w:styleId="Ttulo1Car">
    <w:name w:val="Título 1 Car"/>
    <w:link w:val="Ttulo1"/>
    <w:uiPriority w:val="9"/>
    <w:rsid w:val="005A7F7F"/>
    <w:rPr>
      <w:rFonts w:ascii="Courier New" w:hAnsi="Courier New" w:cs="Courier New"/>
      <w:b/>
      <w:bCs/>
      <w:color w:val="000000"/>
      <w:sz w:val="32"/>
      <w:szCs w:val="32"/>
      <w:lang w:eastAsia="en-US"/>
    </w:rPr>
  </w:style>
  <w:style w:type="character" w:customStyle="1" w:styleId="Ttulo2Car">
    <w:name w:val="Título 2 Car"/>
    <w:link w:val="Ttulo2"/>
    <w:uiPriority w:val="99"/>
    <w:semiHidden/>
    <w:rsid w:val="005A7F7F"/>
    <w:rPr>
      <w:rFonts w:ascii="Courier New" w:hAnsi="Courier New" w:cs="Courier New"/>
      <w:b/>
      <w:bCs/>
      <w:i/>
      <w:iCs/>
      <w:color w:val="000000"/>
      <w:sz w:val="28"/>
      <w:szCs w:val="28"/>
      <w:lang w:eastAsia="en-US"/>
    </w:rPr>
  </w:style>
  <w:style w:type="character" w:customStyle="1" w:styleId="f1">
    <w:name w:val="f1"/>
    <w:rsid w:val="005A7F7F"/>
    <w:rPr>
      <w:color w:val="0000FF"/>
      <w:sz w:val="30"/>
      <w:szCs w:val="30"/>
    </w:rPr>
  </w:style>
  <w:style w:type="character" w:customStyle="1" w:styleId="b1">
    <w:name w:val="b1"/>
    <w:rsid w:val="005A7F7F"/>
    <w:rPr>
      <w:color w:val="000000"/>
    </w:rPr>
  </w:style>
  <w:style w:type="paragraph" w:customStyle="1" w:styleId="p">
    <w:name w:val="p"/>
    <w:basedOn w:val="Normal"/>
    <w:rsid w:val="005A7F7F"/>
    <w:pPr>
      <w:spacing w:before="100" w:beforeAutospacing="1"/>
    </w:pPr>
  </w:style>
  <w:style w:type="paragraph" w:customStyle="1" w:styleId="q">
    <w:name w:val="q"/>
    <w:basedOn w:val="Normal"/>
    <w:rsid w:val="005A7F7F"/>
    <w:pPr>
      <w:spacing w:before="100" w:beforeAutospacing="1"/>
      <w:ind w:left="480"/>
    </w:pPr>
  </w:style>
  <w:style w:type="character" w:customStyle="1" w:styleId="a1">
    <w:name w:val="a1"/>
    <w:rsid w:val="005A7F7F"/>
    <w:rPr>
      <w:rFonts w:ascii="Arial Unicode MS" w:eastAsia="Arial Unicode MS" w:hAnsi="Arial Unicode MS" w:cs="Arial Unicode MS" w:hint="eastAsia"/>
      <w:color w:val="008000"/>
      <w:sz w:val="26"/>
      <w:szCs w:val="26"/>
    </w:rPr>
  </w:style>
  <w:style w:type="character" w:customStyle="1" w:styleId="d1">
    <w:name w:val="d1"/>
    <w:rsid w:val="005A7F7F"/>
    <w:rPr>
      <w:color w:val="0000FF"/>
    </w:rPr>
  </w:style>
  <w:style w:type="character" w:customStyle="1" w:styleId="g1">
    <w:name w:val="g1"/>
    <w:rsid w:val="005A7F7F"/>
    <w:rPr>
      <w:color w:val="B3B3B3"/>
    </w:rPr>
  </w:style>
  <w:style w:type="paragraph" w:styleId="Piedepgina">
    <w:name w:val="footer"/>
    <w:basedOn w:val="Normal"/>
    <w:link w:val="PiedepginaCar"/>
    <w:uiPriority w:val="99"/>
    <w:rsid w:val="005A7F7F"/>
    <w:pPr>
      <w:tabs>
        <w:tab w:val="center" w:pos="4252"/>
        <w:tab w:val="right" w:pos="8504"/>
      </w:tabs>
    </w:pPr>
  </w:style>
  <w:style w:type="character" w:customStyle="1" w:styleId="PiedepginaCar">
    <w:name w:val="Pie de página Car"/>
    <w:link w:val="Piedepgina"/>
    <w:uiPriority w:val="99"/>
    <w:rsid w:val="005A7F7F"/>
    <w:rPr>
      <w:sz w:val="24"/>
      <w:szCs w:val="24"/>
    </w:rPr>
  </w:style>
  <w:style w:type="character" w:styleId="Nmerodepgina">
    <w:name w:val="page number"/>
    <w:rsid w:val="005A7F7F"/>
  </w:style>
  <w:style w:type="paragraph" w:customStyle="1" w:styleId="Pa13">
    <w:name w:val="Pa13"/>
    <w:basedOn w:val="Normal"/>
    <w:next w:val="Normal"/>
    <w:rsid w:val="005A7F7F"/>
    <w:pPr>
      <w:autoSpaceDE w:val="0"/>
      <w:autoSpaceDN w:val="0"/>
      <w:adjustRightInd w:val="0"/>
      <w:spacing w:line="201" w:lineRule="atLeast"/>
    </w:pPr>
  </w:style>
  <w:style w:type="paragraph" w:customStyle="1" w:styleId="Prrafodelista1">
    <w:name w:val="Párrafo de lista1"/>
    <w:basedOn w:val="Normal"/>
    <w:rsid w:val="005A7F7F"/>
    <w:pPr>
      <w:spacing w:after="200" w:line="276" w:lineRule="auto"/>
      <w:ind w:left="720"/>
      <w:contextualSpacing/>
    </w:pPr>
    <w:rPr>
      <w:rFonts w:ascii="Calibri" w:hAnsi="Calibri"/>
      <w:sz w:val="22"/>
      <w:szCs w:val="22"/>
      <w:lang w:val="es-ES_tradnl" w:eastAsia="en-US"/>
    </w:rPr>
  </w:style>
  <w:style w:type="character" w:customStyle="1" w:styleId="ft">
    <w:name w:val="ft"/>
    <w:rsid w:val="005A7F7F"/>
  </w:style>
  <w:style w:type="character" w:customStyle="1" w:styleId="st1">
    <w:name w:val="st1"/>
    <w:rsid w:val="005A7F7F"/>
  </w:style>
  <w:style w:type="character" w:styleId="nfasis">
    <w:name w:val="Emphasis"/>
    <w:qFormat/>
    <w:rsid w:val="005A7F7F"/>
    <w:rPr>
      <w:b/>
      <w:bCs/>
      <w:i w:val="0"/>
      <w:iCs w:val="0"/>
    </w:rPr>
  </w:style>
  <w:style w:type="character" w:customStyle="1" w:styleId="text">
    <w:name w:val="text"/>
    <w:rsid w:val="005A7F7F"/>
  </w:style>
  <w:style w:type="table" w:styleId="Sombreadomedio1-nfasis5">
    <w:name w:val="Medium Shading 1 Accent 5"/>
    <w:basedOn w:val="Tablanormal"/>
    <w:uiPriority w:val="63"/>
    <w:rsid w:val="005A7F7F"/>
    <w:rPr>
      <w:rFonts w:ascii="Calibri" w:eastAsia="Calibri" w:hAnsi="Calibri"/>
      <w:sz w:val="22"/>
      <w:szCs w:val="22"/>
      <w:lang w:eastAsia="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styleId="Encabezado">
    <w:name w:val="header"/>
    <w:basedOn w:val="Normal"/>
    <w:link w:val="EncabezadoCar"/>
    <w:rsid w:val="005A7F7F"/>
    <w:pPr>
      <w:tabs>
        <w:tab w:val="center" w:pos="4252"/>
        <w:tab w:val="right" w:pos="8504"/>
      </w:tabs>
    </w:pPr>
  </w:style>
  <w:style w:type="character" w:customStyle="1" w:styleId="EncabezadoCar">
    <w:name w:val="Encabezado Car"/>
    <w:link w:val="Encabezado"/>
    <w:rsid w:val="005A7F7F"/>
    <w:rPr>
      <w:sz w:val="24"/>
      <w:szCs w:val="24"/>
    </w:rPr>
  </w:style>
  <w:style w:type="character" w:customStyle="1" w:styleId="Ttulo3Car">
    <w:name w:val="Título 3 Car"/>
    <w:link w:val="Ttulo3"/>
    <w:uiPriority w:val="99"/>
    <w:rsid w:val="005A7F7F"/>
    <w:rPr>
      <w:rFonts w:ascii="Arial" w:hAnsi="Arial" w:cs="Arial"/>
      <w:b/>
      <w:bCs/>
      <w:sz w:val="26"/>
      <w:szCs w:val="26"/>
    </w:rPr>
  </w:style>
  <w:style w:type="character" w:customStyle="1" w:styleId="Ttulo4Car">
    <w:name w:val="Título 4 Car"/>
    <w:link w:val="Ttulo4"/>
    <w:rsid w:val="005A7F7F"/>
    <w:rPr>
      <w:b/>
      <w:bCs/>
      <w:sz w:val="24"/>
      <w:szCs w:val="24"/>
    </w:rPr>
  </w:style>
  <w:style w:type="numbering" w:customStyle="1" w:styleId="Sinlista1">
    <w:name w:val="Sin lista1"/>
    <w:next w:val="Sinlista"/>
    <w:uiPriority w:val="99"/>
    <w:semiHidden/>
    <w:unhideWhenUsed/>
    <w:rsid w:val="005A7F7F"/>
  </w:style>
  <w:style w:type="character" w:customStyle="1" w:styleId="TextocomentarioCar1">
    <w:name w:val="Texto comentario Car1"/>
    <w:rsid w:val="005A7F7F"/>
  </w:style>
  <w:style w:type="character" w:customStyle="1" w:styleId="AsuntodelcomentarioCar1">
    <w:name w:val="Asunto del comentario Car1"/>
    <w:rsid w:val="005A7F7F"/>
    <w:rPr>
      <w:b/>
      <w:bCs/>
    </w:rPr>
  </w:style>
  <w:style w:type="table" w:customStyle="1" w:styleId="Tablaconcuadrcula1">
    <w:name w:val="Tabla con cuadrícula1"/>
    <w:basedOn w:val="Tablanormal"/>
    <w:next w:val="Tablaconcuadrcula"/>
    <w:rsid w:val="005A7F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5A7F7F"/>
  </w:style>
  <w:style w:type="numbering" w:customStyle="1" w:styleId="Sinlista2">
    <w:name w:val="Sin lista2"/>
    <w:next w:val="Sinlista"/>
    <w:uiPriority w:val="99"/>
    <w:semiHidden/>
    <w:unhideWhenUsed/>
    <w:rsid w:val="005A7F7F"/>
  </w:style>
  <w:style w:type="numbering" w:customStyle="1" w:styleId="Sinlista3">
    <w:name w:val="Sin lista3"/>
    <w:next w:val="Sinlista"/>
    <w:uiPriority w:val="99"/>
    <w:semiHidden/>
    <w:unhideWhenUsed/>
    <w:rsid w:val="005A7F7F"/>
  </w:style>
  <w:style w:type="numbering" w:customStyle="1" w:styleId="Sinlista4">
    <w:name w:val="Sin lista4"/>
    <w:next w:val="Sinlista"/>
    <w:uiPriority w:val="99"/>
    <w:semiHidden/>
    <w:unhideWhenUsed/>
    <w:rsid w:val="005A7F7F"/>
  </w:style>
  <w:style w:type="numbering" w:customStyle="1" w:styleId="Sinlista111">
    <w:name w:val="Sin lista111"/>
    <w:next w:val="Sinlista"/>
    <w:uiPriority w:val="99"/>
    <w:semiHidden/>
    <w:unhideWhenUsed/>
    <w:rsid w:val="005A7F7F"/>
  </w:style>
  <w:style w:type="numbering" w:customStyle="1" w:styleId="Sinlista21">
    <w:name w:val="Sin lista21"/>
    <w:next w:val="Sinlista"/>
    <w:uiPriority w:val="99"/>
    <w:semiHidden/>
    <w:unhideWhenUsed/>
    <w:rsid w:val="005A7F7F"/>
  </w:style>
  <w:style w:type="numbering" w:customStyle="1" w:styleId="Sinlista31">
    <w:name w:val="Sin lista31"/>
    <w:next w:val="Sinlista"/>
    <w:uiPriority w:val="99"/>
    <w:semiHidden/>
    <w:unhideWhenUsed/>
    <w:rsid w:val="005A7F7F"/>
  </w:style>
  <w:style w:type="numbering" w:customStyle="1" w:styleId="Sinlista41">
    <w:name w:val="Sin lista41"/>
    <w:next w:val="Sinlista"/>
    <w:uiPriority w:val="99"/>
    <w:semiHidden/>
    <w:unhideWhenUsed/>
    <w:rsid w:val="005A7F7F"/>
  </w:style>
  <w:style w:type="paragraph" w:styleId="z-Finaldelformulario">
    <w:name w:val="HTML Bottom of Form"/>
    <w:basedOn w:val="Normal"/>
    <w:next w:val="Normal"/>
    <w:link w:val="z-FinaldelformularioCar"/>
    <w:hidden/>
    <w:rsid w:val="005A7F7F"/>
    <w:pPr>
      <w:pBdr>
        <w:top w:val="single" w:sz="6" w:space="1" w:color="auto"/>
      </w:pBdr>
      <w:jc w:val="center"/>
    </w:pPr>
    <w:rPr>
      <w:rFonts w:ascii="Arial" w:hAnsi="Arial" w:cs="Arial"/>
      <w:vanish/>
      <w:sz w:val="16"/>
      <w:szCs w:val="16"/>
    </w:rPr>
  </w:style>
  <w:style w:type="character" w:customStyle="1" w:styleId="z-FinaldelformularioCar">
    <w:name w:val="z-Final del formulario Car"/>
    <w:link w:val="z-Finaldelformulario"/>
    <w:rsid w:val="005A7F7F"/>
    <w:rPr>
      <w:rFonts w:ascii="Arial" w:hAnsi="Arial" w:cs="Arial"/>
      <w:vanish/>
      <w:sz w:val="16"/>
      <w:szCs w:val="16"/>
    </w:rPr>
  </w:style>
  <w:style w:type="table" w:customStyle="1" w:styleId="Tablaconcuadrcula36">
    <w:name w:val="Tabla con cuadrícula36"/>
    <w:basedOn w:val="Tablanormal"/>
    <w:next w:val="Tablaconcuadrcula"/>
    <w:uiPriority w:val="59"/>
    <w:rsid w:val="001371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1B479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DF62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0165D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1">
    <w:name w:val="Tabla con cuadrícula441"/>
    <w:basedOn w:val="Tablanormal"/>
    <w:next w:val="Tablaconcuadrcula"/>
    <w:uiPriority w:val="59"/>
    <w:rsid w:val="008D03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59"/>
    <w:rsid w:val="00AE19C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uiPriority w:val="59"/>
    <w:rsid w:val="00AC2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9">
    <w:name w:val="Tabla con cuadrícula49"/>
    <w:basedOn w:val="Tablanormal"/>
    <w:next w:val="Tablaconcuadrcula"/>
    <w:uiPriority w:val="59"/>
    <w:rsid w:val="00D86C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59"/>
    <w:rsid w:val="00372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3725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692244">
      <w:bodyDiv w:val="1"/>
      <w:marLeft w:val="0"/>
      <w:marRight w:val="0"/>
      <w:marTop w:val="0"/>
      <w:marBottom w:val="0"/>
      <w:divBdr>
        <w:top w:val="none" w:sz="0" w:space="0" w:color="auto"/>
        <w:left w:val="none" w:sz="0" w:space="0" w:color="auto"/>
        <w:bottom w:val="none" w:sz="0" w:space="0" w:color="auto"/>
        <w:right w:val="none" w:sz="0" w:space="0" w:color="auto"/>
      </w:divBdr>
    </w:div>
    <w:div w:id="314141673">
      <w:bodyDiv w:val="1"/>
      <w:marLeft w:val="0"/>
      <w:marRight w:val="0"/>
      <w:marTop w:val="0"/>
      <w:marBottom w:val="0"/>
      <w:divBdr>
        <w:top w:val="none" w:sz="0" w:space="0" w:color="auto"/>
        <w:left w:val="none" w:sz="0" w:space="0" w:color="auto"/>
        <w:bottom w:val="none" w:sz="0" w:space="0" w:color="auto"/>
        <w:right w:val="none" w:sz="0" w:space="0" w:color="auto"/>
      </w:divBdr>
    </w:div>
    <w:div w:id="348071294">
      <w:bodyDiv w:val="1"/>
      <w:marLeft w:val="0"/>
      <w:marRight w:val="0"/>
      <w:marTop w:val="0"/>
      <w:marBottom w:val="0"/>
      <w:divBdr>
        <w:top w:val="none" w:sz="0" w:space="0" w:color="auto"/>
        <w:left w:val="none" w:sz="0" w:space="0" w:color="auto"/>
        <w:bottom w:val="none" w:sz="0" w:space="0" w:color="auto"/>
        <w:right w:val="none" w:sz="0" w:space="0" w:color="auto"/>
      </w:divBdr>
    </w:div>
    <w:div w:id="452792538">
      <w:bodyDiv w:val="1"/>
      <w:marLeft w:val="0"/>
      <w:marRight w:val="0"/>
      <w:marTop w:val="0"/>
      <w:marBottom w:val="0"/>
      <w:divBdr>
        <w:top w:val="none" w:sz="0" w:space="0" w:color="auto"/>
        <w:left w:val="none" w:sz="0" w:space="0" w:color="auto"/>
        <w:bottom w:val="none" w:sz="0" w:space="0" w:color="auto"/>
        <w:right w:val="none" w:sz="0" w:space="0" w:color="auto"/>
      </w:divBdr>
    </w:div>
    <w:div w:id="466362970">
      <w:bodyDiv w:val="1"/>
      <w:marLeft w:val="0"/>
      <w:marRight w:val="0"/>
      <w:marTop w:val="0"/>
      <w:marBottom w:val="0"/>
      <w:divBdr>
        <w:top w:val="none" w:sz="0" w:space="0" w:color="auto"/>
        <w:left w:val="none" w:sz="0" w:space="0" w:color="auto"/>
        <w:bottom w:val="none" w:sz="0" w:space="0" w:color="auto"/>
        <w:right w:val="none" w:sz="0" w:space="0" w:color="auto"/>
      </w:divBdr>
    </w:div>
    <w:div w:id="570426683">
      <w:bodyDiv w:val="1"/>
      <w:marLeft w:val="0"/>
      <w:marRight w:val="0"/>
      <w:marTop w:val="0"/>
      <w:marBottom w:val="0"/>
      <w:divBdr>
        <w:top w:val="none" w:sz="0" w:space="0" w:color="auto"/>
        <w:left w:val="none" w:sz="0" w:space="0" w:color="auto"/>
        <w:bottom w:val="none" w:sz="0" w:space="0" w:color="auto"/>
        <w:right w:val="none" w:sz="0" w:space="0" w:color="auto"/>
      </w:divBdr>
    </w:div>
    <w:div w:id="584916554">
      <w:bodyDiv w:val="1"/>
      <w:marLeft w:val="0"/>
      <w:marRight w:val="0"/>
      <w:marTop w:val="0"/>
      <w:marBottom w:val="0"/>
      <w:divBdr>
        <w:top w:val="none" w:sz="0" w:space="0" w:color="auto"/>
        <w:left w:val="none" w:sz="0" w:space="0" w:color="auto"/>
        <w:bottom w:val="none" w:sz="0" w:space="0" w:color="auto"/>
        <w:right w:val="none" w:sz="0" w:space="0" w:color="auto"/>
      </w:divBdr>
    </w:div>
    <w:div w:id="656304819">
      <w:bodyDiv w:val="1"/>
      <w:marLeft w:val="0"/>
      <w:marRight w:val="0"/>
      <w:marTop w:val="0"/>
      <w:marBottom w:val="0"/>
      <w:divBdr>
        <w:top w:val="none" w:sz="0" w:space="0" w:color="auto"/>
        <w:left w:val="none" w:sz="0" w:space="0" w:color="auto"/>
        <w:bottom w:val="none" w:sz="0" w:space="0" w:color="auto"/>
        <w:right w:val="none" w:sz="0" w:space="0" w:color="auto"/>
      </w:divBdr>
    </w:div>
    <w:div w:id="747188193">
      <w:bodyDiv w:val="1"/>
      <w:marLeft w:val="0"/>
      <w:marRight w:val="0"/>
      <w:marTop w:val="0"/>
      <w:marBottom w:val="0"/>
      <w:divBdr>
        <w:top w:val="none" w:sz="0" w:space="0" w:color="auto"/>
        <w:left w:val="none" w:sz="0" w:space="0" w:color="auto"/>
        <w:bottom w:val="none" w:sz="0" w:space="0" w:color="auto"/>
        <w:right w:val="none" w:sz="0" w:space="0" w:color="auto"/>
      </w:divBdr>
    </w:div>
    <w:div w:id="788398129">
      <w:bodyDiv w:val="1"/>
      <w:marLeft w:val="0"/>
      <w:marRight w:val="0"/>
      <w:marTop w:val="0"/>
      <w:marBottom w:val="0"/>
      <w:divBdr>
        <w:top w:val="none" w:sz="0" w:space="0" w:color="auto"/>
        <w:left w:val="none" w:sz="0" w:space="0" w:color="auto"/>
        <w:bottom w:val="none" w:sz="0" w:space="0" w:color="auto"/>
        <w:right w:val="none" w:sz="0" w:space="0" w:color="auto"/>
      </w:divBdr>
    </w:div>
    <w:div w:id="926575358">
      <w:bodyDiv w:val="1"/>
      <w:marLeft w:val="0"/>
      <w:marRight w:val="0"/>
      <w:marTop w:val="0"/>
      <w:marBottom w:val="0"/>
      <w:divBdr>
        <w:top w:val="none" w:sz="0" w:space="0" w:color="auto"/>
        <w:left w:val="none" w:sz="0" w:space="0" w:color="auto"/>
        <w:bottom w:val="none" w:sz="0" w:space="0" w:color="auto"/>
        <w:right w:val="none" w:sz="0" w:space="0" w:color="auto"/>
      </w:divBdr>
    </w:div>
    <w:div w:id="951714916">
      <w:bodyDiv w:val="1"/>
      <w:marLeft w:val="0"/>
      <w:marRight w:val="0"/>
      <w:marTop w:val="0"/>
      <w:marBottom w:val="0"/>
      <w:divBdr>
        <w:top w:val="none" w:sz="0" w:space="0" w:color="auto"/>
        <w:left w:val="none" w:sz="0" w:space="0" w:color="auto"/>
        <w:bottom w:val="none" w:sz="0" w:space="0" w:color="auto"/>
        <w:right w:val="none" w:sz="0" w:space="0" w:color="auto"/>
      </w:divBdr>
    </w:div>
    <w:div w:id="1008405767">
      <w:bodyDiv w:val="1"/>
      <w:marLeft w:val="0"/>
      <w:marRight w:val="0"/>
      <w:marTop w:val="0"/>
      <w:marBottom w:val="0"/>
      <w:divBdr>
        <w:top w:val="none" w:sz="0" w:space="0" w:color="auto"/>
        <w:left w:val="none" w:sz="0" w:space="0" w:color="auto"/>
        <w:bottom w:val="none" w:sz="0" w:space="0" w:color="auto"/>
        <w:right w:val="none" w:sz="0" w:space="0" w:color="auto"/>
      </w:divBdr>
    </w:div>
    <w:div w:id="1041906792">
      <w:bodyDiv w:val="1"/>
      <w:marLeft w:val="0"/>
      <w:marRight w:val="0"/>
      <w:marTop w:val="0"/>
      <w:marBottom w:val="0"/>
      <w:divBdr>
        <w:top w:val="none" w:sz="0" w:space="0" w:color="auto"/>
        <w:left w:val="none" w:sz="0" w:space="0" w:color="auto"/>
        <w:bottom w:val="none" w:sz="0" w:space="0" w:color="auto"/>
        <w:right w:val="none" w:sz="0" w:space="0" w:color="auto"/>
      </w:divBdr>
    </w:div>
    <w:div w:id="1058746432">
      <w:bodyDiv w:val="1"/>
      <w:marLeft w:val="0"/>
      <w:marRight w:val="0"/>
      <w:marTop w:val="0"/>
      <w:marBottom w:val="0"/>
      <w:divBdr>
        <w:top w:val="none" w:sz="0" w:space="0" w:color="auto"/>
        <w:left w:val="none" w:sz="0" w:space="0" w:color="auto"/>
        <w:bottom w:val="none" w:sz="0" w:space="0" w:color="auto"/>
        <w:right w:val="none" w:sz="0" w:space="0" w:color="auto"/>
      </w:divBdr>
    </w:div>
    <w:div w:id="1068845552">
      <w:bodyDiv w:val="1"/>
      <w:marLeft w:val="0"/>
      <w:marRight w:val="0"/>
      <w:marTop w:val="0"/>
      <w:marBottom w:val="0"/>
      <w:divBdr>
        <w:top w:val="none" w:sz="0" w:space="0" w:color="auto"/>
        <w:left w:val="none" w:sz="0" w:space="0" w:color="auto"/>
        <w:bottom w:val="none" w:sz="0" w:space="0" w:color="auto"/>
        <w:right w:val="none" w:sz="0" w:space="0" w:color="auto"/>
      </w:divBdr>
    </w:div>
    <w:div w:id="1125268023">
      <w:bodyDiv w:val="1"/>
      <w:marLeft w:val="0"/>
      <w:marRight w:val="0"/>
      <w:marTop w:val="0"/>
      <w:marBottom w:val="0"/>
      <w:divBdr>
        <w:top w:val="none" w:sz="0" w:space="0" w:color="auto"/>
        <w:left w:val="none" w:sz="0" w:space="0" w:color="auto"/>
        <w:bottom w:val="none" w:sz="0" w:space="0" w:color="auto"/>
        <w:right w:val="none" w:sz="0" w:space="0" w:color="auto"/>
      </w:divBdr>
    </w:div>
    <w:div w:id="1136407961">
      <w:bodyDiv w:val="1"/>
      <w:marLeft w:val="0"/>
      <w:marRight w:val="0"/>
      <w:marTop w:val="0"/>
      <w:marBottom w:val="0"/>
      <w:divBdr>
        <w:top w:val="none" w:sz="0" w:space="0" w:color="auto"/>
        <w:left w:val="none" w:sz="0" w:space="0" w:color="auto"/>
        <w:bottom w:val="none" w:sz="0" w:space="0" w:color="auto"/>
        <w:right w:val="none" w:sz="0" w:space="0" w:color="auto"/>
      </w:divBdr>
    </w:div>
    <w:div w:id="1202859413">
      <w:bodyDiv w:val="1"/>
      <w:marLeft w:val="0"/>
      <w:marRight w:val="0"/>
      <w:marTop w:val="0"/>
      <w:marBottom w:val="0"/>
      <w:divBdr>
        <w:top w:val="none" w:sz="0" w:space="0" w:color="auto"/>
        <w:left w:val="none" w:sz="0" w:space="0" w:color="auto"/>
        <w:bottom w:val="none" w:sz="0" w:space="0" w:color="auto"/>
        <w:right w:val="none" w:sz="0" w:space="0" w:color="auto"/>
      </w:divBdr>
    </w:div>
    <w:div w:id="1257053936">
      <w:bodyDiv w:val="1"/>
      <w:marLeft w:val="0"/>
      <w:marRight w:val="0"/>
      <w:marTop w:val="0"/>
      <w:marBottom w:val="0"/>
      <w:divBdr>
        <w:top w:val="none" w:sz="0" w:space="0" w:color="auto"/>
        <w:left w:val="none" w:sz="0" w:space="0" w:color="auto"/>
        <w:bottom w:val="none" w:sz="0" w:space="0" w:color="auto"/>
        <w:right w:val="none" w:sz="0" w:space="0" w:color="auto"/>
      </w:divBdr>
      <w:divsChild>
        <w:div w:id="196310333">
          <w:marLeft w:val="0"/>
          <w:marRight w:val="0"/>
          <w:marTop w:val="0"/>
          <w:marBottom w:val="0"/>
          <w:divBdr>
            <w:top w:val="none" w:sz="0" w:space="0" w:color="auto"/>
            <w:left w:val="none" w:sz="0" w:space="0" w:color="auto"/>
            <w:bottom w:val="none" w:sz="0" w:space="0" w:color="auto"/>
            <w:right w:val="none" w:sz="0" w:space="0" w:color="auto"/>
          </w:divBdr>
          <w:divsChild>
            <w:div w:id="208340105">
              <w:marLeft w:val="0"/>
              <w:marRight w:val="0"/>
              <w:marTop w:val="0"/>
              <w:marBottom w:val="0"/>
              <w:divBdr>
                <w:top w:val="none" w:sz="0" w:space="0" w:color="auto"/>
                <w:left w:val="none" w:sz="0" w:space="0" w:color="auto"/>
                <w:bottom w:val="none" w:sz="0" w:space="0" w:color="auto"/>
                <w:right w:val="none" w:sz="0" w:space="0" w:color="auto"/>
              </w:divBdr>
              <w:divsChild>
                <w:div w:id="461578883">
                  <w:marLeft w:val="0"/>
                  <w:marRight w:val="0"/>
                  <w:marTop w:val="0"/>
                  <w:marBottom w:val="0"/>
                  <w:divBdr>
                    <w:top w:val="none" w:sz="0" w:space="0" w:color="auto"/>
                    <w:left w:val="none" w:sz="0" w:space="0" w:color="auto"/>
                    <w:bottom w:val="none" w:sz="0" w:space="0" w:color="auto"/>
                    <w:right w:val="none" w:sz="0" w:space="0" w:color="auto"/>
                  </w:divBdr>
                  <w:divsChild>
                    <w:div w:id="12536191">
                      <w:marLeft w:val="0"/>
                      <w:marRight w:val="0"/>
                      <w:marTop w:val="0"/>
                      <w:marBottom w:val="0"/>
                      <w:divBdr>
                        <w:top w:val="none" w:sz="0" w:space="0" w:color="auto"/>
                        <w:left w:val="none" w:sz="0" w:space="0" w:color="auto"/>
                        <w:bottom w:val="none" w:sz="0" w:space="0" w:color="auto"/>
                        <w:right w:val="none" w:sz="0" w:space="0" w:color="auto"/>
                      </w:divBdr>
                      <w:divsChild>
                        <w:div w:id="168042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986676">
      <w:bodyDiv w:val="1"/>
      <w:marLeft w:val="0"/>
      <w:marRight w:val="0"/>
      <w:marTop w:val="0"/>
      <w:marBottom w:val="0"/>
      <w:divBdr>
        <w:top w:val="none" w:sz="0" w:space="0" w:color="auto"/>
        <w:left w:val="none" w:sz="0" w:space="0" w:color="auto"/>
        <w:bottom w:val="none" w:sz="0" w:space="0" w:color="auto"/>
        <w:right w:val="none" w:sz="0" w:space="0" w:color="auto"/>
      </w:divBdr>
    </w:div>
    <w:div w:id="1517385345">
      <w:bodyDiv w:val="1"/>
      <w:marLeft w:val="0"/>
      <w:marRight w:val="0"/>
      <w:marTop w:val="0"/>
      <w:marBottom w:val="0"/>
      <w:divBdr>
        <w:top w:val="none" w:sz="0" w:space="0" w:color="auto"/>
        <w:left w:val="none" w:sz="0" w:space="0" w:color="auto"/>
        <w:bottom w:val="none" w:sz="0" w:space="0" w:color="auto"/>
        <w:right w:val="none" w:sz="0" w:space="0" w:color="auto"/>
      </w:divBdr>
    </w:div>
    <w:div w:id="1561013566">
      <w:bodyDiv w:val="1"/>
      <w:marLeft w:val="0"/>
      <w:marRight w:val="0"/>
      <w:marTop w:val="0"/>
      <w:marBottom w:val="0"/>
      <w:divBdr>
        <w:top w:val="none" w:sz="0" w:space="0" w:color="auto"/>
        <w:left w:val="none" w:sz="0" w:space="0" w:color="auto"/>
        <w:bottom w:val="none" w:sz="0" w:space="0" w:color="auto"/>
        <w:right w:val="none" w:sz="0" w:space="0" w:color="auto"/>
      </w:divBdr>
    </w:div>
    <w:div w:id="1574660254">
      <w:bodyDiv w:val="1"/>
      <w:marLeft w:val="0"/>
      <w:marRight w:val="0"/>
      <w:marTop w:val="0"/>
      <w:marBottom w:val="0"/>
      <w:divBdr>
        <w:top w:val="none" w:sz="0" w:space="0" w:color="auto"/>
        <w:left w:val="none" w:sz="0" w:space="0" w:color="auto"/>
        <w:bottom w:val="none" w:sz="0" w:space="0" w:color="auto"/>
        <w:right w:val="none" w:sz="0" w:space="0" w:color="auto"/>
      </w:divBdr>
    </w:div>
    <w:div w:id="1646200547">
      <w:bodyDiv w:val="1"/>
      <w:marLeft w:val="0"/>
      <w:marRight w:val="0"/>
      <w:marTop w:val="0"/>
      <w:marBottom w:val="0"/>
      <w:divBdr>
        <w:top w:val="none" w:sz="0" w:space="0" w:color="auto"/>
        <w:left w:val="none" w:sz="0" w:space="0" w:color="auto"/>
        <w:bottom w:val="none" w:sz="0" w:space="0" w:color="auto"/>
        <w:right w:val="none" w:sz="0" w:space="0" w:color="auto"/>
      </w:divBdr>
    </w:div>
    <w:div w:id="1707481352">
      <w:bodyDiv w:val="1"/>
      <w:marLeft w:val="0"/>
      <w:marRight w:val="0"/>
      <w:marTop w:val="0"/>
      <w:marBottom w:val="0"/>
      <w:divBdr>
        <w:top w:val="none" w:sz="0" w:space="0" w:color="auto"/>
        <w:left w:val="none" w:sz="0" w:space="0" w:color="auto"/>
        <w:bottom w:val="none" w:sz="0" w:space="0" w:color="auto"/>
        <w:right w:val="none" w:sz="0" w:space="0" w:color="auto"/>
      </w:divBdr>
    </w:div>
    <w:div w:id="1861818836">
      <w:bodyDiv w:val="1"/>
      <w:marLeft w:val="0"/>
      <w:marRight w:val="0"/>
      <w:marTop w:val="0"/>
      <w:marBottom w:val="0"/>
      <w:divBdr>
        <w:top w:val="none" w:sz="0" w:space="0" w:color="auto"/>
        <w:left w:val="none" w:sz="0" w:space="0" w:color="auto"/>
        <w:bottom w:val="none" w:sz="0" w:space="0" w:color="auto"/>
        <w:right w:val="none" w:sz="0" w:space="0" w:color="auto"/>
      </w:divBdr>
    </w:div>
    <w:div w:id="1866597661">
      <w:bodyDiv w:val="1"/>
      <w:marLeft w:val="0"/>
      <w:marRight w:val="0"/>
      <w:marTop w:val="0"/>
      <w:marBottom w:val="0"/>
      <w:divBdr>
        <w:top w:val="none" w:sz="0" w:space="0" w:color="auto"/>
        <w:left w:val="none" w:sz="0" w:space="0" w:color="auto"/>
        <w:bottom w:val="none" w:sz="0" w:space="0" w:color="auto"/>
        <w:right w:val="none" w:sz="0" w:space="0" w:color="auto"/>
      </w:divBdr>
    </w:div>
    <w:div w:id="1973948357">
      <w:bodyDiv w:val="1"/>
      <w:marLeft w:val="0"/>
      <w:marRight w:val="0"/>
      <w:marTop w:val="0"/>
      <w:marBottom w:val="0"/>
      <w:divBdr>
        <w:top w:val="none" w:sz="0" w:space="0" w:color="auto"/>
        <w:left w:val="none" w:sz="0" w:space="0" w:color="auto"/>
        <w:bottom w:val="none" w:sz="0" w:space="0" w:color="auto"/>
        <w:right w:val="none" w:sz="0" w:space="0" w:color="auto"/>
      </w:divBdr>
    </w:div>
    <w:div w:id="1984046204">
      <w:bodyDiv w:val="1"/>
      <w:marLeft w:val="0"/>
      <w:marRight w:val="0"/>
      <w:marTop w:val="0"/>
      <w:marBottom w:val="0"/>
      <w:divBdr>
        <w:top w:val="none" w:sz="0" w:space="0" w:color="auto"/>
        <w:left w:val="none" w:sz="0" w:space="0" w:color="auto"/>
        <w:bottom w:val="none" w:sz="0" w:space="0" w:color="auto"/>
        <w:right w:val="none" w:sz="0" w:space="0" w:color="auto"/>
      </w:divBdr>
    </w:div>
    <w:div w:id="2020890725">
      <w:bodyDiv w:val="1"/>
      <w:marLeft w:val="0"/>
      <w:marRight w:val="0"/>
      <w:marTop w:val="0"/>
      <w:marBottom w:val="0"/>
      <w:divBdr>
        <w:top w:val="none" w:sz="0" w:space="0" w:color="auto"/>
        <w:left w:val="none" w:sz="0" w:space="0" w:color="auto"/>
        <w:bottom w:val="none" w:sz="0" w:space="0" w:color="auto"/>
        <w:right w:val="none" w:sz="0" w:space="0" w:color="auto"/>
      </w:divBdr>
    </w:div>
    <w:div w:id="2058970192">
      <w:bodyDiv w:val="1"/>
      <w:marLeft w:val="0"/>
      <w:marRight w:val="0"/>
      <w:marTop w:val="0"/>
      <w:marBottom w:val="0"/>
      <w:divBdr>
        <w:top w:val="none" w:sz="0" w:space="0" w:color="auto"/>
        <w:left w:val="none" w:sz="0" w:space="0" w:color="auto"/>
        <w:bottom w:val="none" w:sz="0" w:space="0" w:color="auto"/>
        <w:right w:val="none" w:sz="0" w:space="0" w:color="auto"/>
      </w:divBdr>
    </w:div>
    <w:div w:id="2073115609">
      <w:bodyDiv w:val="1"/>
      <w:marLeft w:val="0"/>
      <w:marRight w:val="0"/>
      <w:marTop w:val="0"/>
      <w:marBottom w:val="0"/>
      <w:divBdr>
        <w:top w:val="none" w:sz="0" w:space="0" w:color="auto"/>
        <w:left w:val="none" w:sz="0" w:space="0" w:color="auto"/>
        <w:bottom w:val="none" w:sz="0" w:space="0" w:color="auto"/>
        <w:right w:val="none" w:sz="0" w:space="0" w:color="auto"/>
      </w:divBdr>
    </w:div>
    <w:div w:id="2084833337">
      <w:bodyDiv w:val="1"/>
      <w:marLeft w:val="0"/>
      <w:marRight w:val="0"/>
      <w:marTop w:val="0"/>
      <w:marBottom w:val="0"/>
      <w:divBdr>
        <w:top w:val="none" w:sz="0" w:space="0" w:color="auto"/>
        <w:left w:val="none" w:sz="0" w:space="0" w:color="auto"/>
        <w:bottom w:val="none" w:sz="0" w:space="0" w:color="auto"/>
        <w:right w:val="none" w:sz="0" w:space="0" w:color="auto"/>
      </w:divBdr>
    </w:div>
    <w:div w:id="212056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hyperlink" Target="mailto:fherrera@ugr.es" TargetMode="External"/><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mailto:feanor_fede@hotmail.com" TargetMode="External"/><Relationship Id="rId14" Type="http://schemas.openxmlformats.org/officeDocument/2006/relationships/chart" Target="charts/chart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Hoja1!$R$14</c:f>
              <c:strCache>
                <c:ptCount val="1"/>
                <c:pt idx="0">
                  <c:v>Varón</c:v>
                </c:pt>
              </c:strCache>
            </c:strRef>
          </c:tx>
          <c:invertIfNegative val="0"/>
          <c:cat>
            <c:strRef>
              <c:f>Hoja1!$S$13:$V$13</c:f>
              <c:strCache>
                <c:ptCount val="4"/>
                <c:pt idx="0">
                  <c:v>Muy Poco</c:v>
                </c:pt>
                <c:pt idx="1">
                  <c:v>Poco</c:v>
                </c:pt>
                <c:pt idx="2">
                  <c:v>Bastante</c:v>
                </c:pt>
                <c:pt idx="3">
                  <c:v>Mucho</c:v>
                </c:pt>
              </c:strCache>
            </c:strRef>
          </c:cat>
          <c:val>
            <c:numRef>
              <c:f>Hoja1!$S$14:$V$14</c:f>
              <c:numCache>
                <c:formatCode>0.00%</c:formatCode>
                <c:ptCount val="4"/>
                <c:pt idx="0">
                  <c:v>0.255</c:v>
                </c:pt>
                <c:pt idx="1">
                  <c:v>0.502</c:v>
                </c:pt>
                <c:pt idx="2">
                  <c:v>0.21299999999999999</c:v>
                </c:pt>
                <c:pt idx="3">
                  <c:v>0.03</c:v>
                </c:pt>
              </c:numCache>
            </c:numRef>
          </c:val>
        </c:ser>
        <c:ser>
          <c:idx val="1"/>
          <c:order val="1"/>
          <c:tx>
            <c:strRef>
              <c:f>Hoja1!$R$15</c:f>
              <c:strCache>
                <c:ptCount val="1"/>
                <c:pt idx="0">
                  <c:v>Mujer</c:v>
                </c:pt>
              </c:strCache>
            </c:strRef>
          </c:tx>
          <c:spPr>
            <a:solidFill>
              <a:srgbClr val="FF66FF"/>
            </a:solidFill>
          </c:spPr>
          <c:invertIfNegative val="0"/>
          <c:cat>
            <c:strRef>
              <c:f>Hoja1!$S$13:$V$13</c:f>
              <c:strCache>
                <c:ptCount val="4"/>
                <c:pt idx="0">
                  <c:v>Muy Poco</c:v>
                </c:pt>
                <c:pt idx="1">
                  <c:v>Poco</c:v>
                </c:pt>
                <c:pt idx="2">
                  <c:v>Bastante</c:v>
                </c:pt>
                <c:pt idx="3">
                  <c:v>Mucho</c:v>
                </c:pt>
              </c:strCache>
            </c:strRef>
          </c:cat>
          <c:val>
            <c:numRef>
              <c:f>Hoja1!$S$15:$V$15</c:f>
              <c:numCache>
                <c:formatCode>0.00%</c:formatCode>
                <c:ptCount val="4"/>
                <c:pt idx="0">
                  <c:v>0.14499999999999999</c:v>
                </c:pt>
                <c:pt idx="1">
                  <c:v>0.39800000000000002</c:v>
                </c:pt>
                <c:pt idx="2">
                  <c:v>0.39200000000000002</c:v>
                </c:pt>
                <c:pt idx="3">
                  <c:v>6.5000000000000002E-2</c:v>
                </c:pt>
              </c:numCache>
            </c:numRef>
          </c:val>
        </c:ser>
        <c:dLbls>
          <c:showLegendKey val="0"/>
          <c:showVal val="0"/>
          <c:showCatName val="0"/>
          <c:showSerName val="0"/>
          <c:showPercent val="0"/>
          <c:showBubbleSize val="0"/>
        </c:dLbls>
        <c:gapWidth val="150"/>
        <c:axId val="229182848"/>
        <c:axId val="229184640"/>
      </c:barChart>
      <c:catAx>
        <c:axId val="229182848"/>
        <c:scaling>
          <c:orientation val="minMax"/>
        </c:scaling>
        <c:delete val="0"/>
        <c:axPos val="b"/>
        <c:majorTickMark val="out"/>
        <c:minorTickMark val="none"/>
        <c:tickLblPos val="nextTo"/>
        <c:crossAx val="229184640"/>
        <c:crosses val="autoZero"/>
        <c:auto val="1"/>
        <c:lblAlgn val="ctr"/>
        <c:lblOffset val="100"/>
        <c:noMultiLvlLbl val="0"/>
      </c:catAx>
      <c:valAx>
        <c:axId val="229184640"/>
        <c:scaling>
          <c:orientation val="minMax"/>
        </c:scaling>
        <c:delete val="0"/>
        <c:axPos val="l"/>
        <c:majorGridlines/>
        <c:numFmt formatCode="0.00%" sourceLinked="1"/>
        <c:majorTickMark val="out"/>
        <c:minorTickMark val="none"/>
        <c:tickLblPos val="nextTo"/>
        <c:crossAx val="229182848"/>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Hoja1!$AB$16</c:f>
              <c:strCache>
                <c:ptCount val="1"/>
                <c:pt idx="0">
                  <c:v>Cristiana</c:v>
                </c:pt>
              </c:strCache>
            </c:strRef>
          </c:tx>
          <c:invertIfNegative val="0"/>
          <c:cat>
            <c:strRef>
              <c:f>Hoja1!$AC$15:$AF$15</c:f>
              <c:strCache>
                <c:ptCount val="4"/>
                <c:pt idx="0">
                  <c:v>Muy Poco</c:v>
                </c:pt>
                <c:pt idx="1">
                  <c:v>Poco</c:v>
                </c:pt>
                <c:pt idx="2">
                  <c:v>Bastante</c:v>
                </c:pt>
                <c:pt idx="3">
                  <c:v>Mucho</c:v>
                </c:pt>
              </c:strCache>
            </c:strRef>
          </c:cat>
          <c:val>
            <c:numRef>
              <c:f>Hoja1!$AC$16:$AF$16</c:f>
              <c:numCache>
                <c:formatCode>0.00%</c:formatCode>
                <c:ptCount val="4"/>
                <c:pt idx="0">
                  <c:v>0.26600000000000001</c:v>
                </c:pt>
                <c:pt idx="1">
                  <c:v>0.52500000000000002</c:v>
                </c:pt>
                <c:pt idx="2">
                  <c:v>0.19</c:v>
                </c:pt>
                <c:pt idx="3">
                  <c:v>1.9E-2</c:v>
                </c:pt>
              </c:numCache>
            </c:numRef>
          </c:val>
        </c:ser>
        <c:ser>
          <c:idx val="1"/>
          <c:order val="1"/>
          <c:tx>
            <c:strRef>
              <c:f>Hoja1!$AB$17</c:f>
              <c:strCache>
                <c:ptCount val="1"/>
                <c:pt idx="0">
                  <c:v>Musulmana</c:v>
                </c:pt>
              </c:strCache>
            </c:strRef>
          </c:tx>
          <c:spPr>
            <a:solidFill>
              <a:schemeClr val="accent3">
                <a:lumMod val="60000"/>
                <a:lumOff val="40000"/>
              </a:schemeClr>
            </a:solidFill>
          </c:spPr>
          <c:invertIfNegative val="0"/>
          <c:cat>
            <c:strRef>
              <c:f>Hoja1!$AC$15:$AF$15</c:f>
              <c:strCache>
                <c:ptCount val="4"/>
                <c:pt idx="0">
                  <c:v>Muy Poco</c:v>
                </c:pt>
                <c:pt idx="1">
                  <c:v>Poco</c:v>
                </c:pt>
                <c:pt idx="2">
                  <c:v>Bastante</c:v>
                </c:pt>
                <c:pt idx="3">
                  <c:v>Mucho</c:v>
                </c:pt>
              </c:strCache>
            </c:strRef>
          </c:cat>
          <c:val>
            <c:numRef>
              <c:f>Hoja1!$AC$17:$AF$17</c:f>
              <c:numCache>
                <c:formatCode>0.00%</c:formatCode>
                <c:ptCount val="4"/>
                <c:pt idx="0">
                  <c:v>0.14099999999999999</c:v>
                </c:pt>
                <c:pt idx="1">
                  <c:v>0.38500000000000001</c:v>
                </c:pt>
                <c:pt idx="2">
                  <c:v>0.40200000000000002</c:v>
                </c:pt>
                <c:pt idx="3">
                  <c:v>7.1999999999999995E-2</c:v>
                </c:pt>
              </c:numCache>
            </c:numRef>
          </c:val>
        </c:ser>
        <c:dLbls>
          <c:showLegendKey val="0"/>
          <c:showVal val="0"/>
          <c:showCatName val="0"/>
          <c:showSerName val="0"/>
          <c:showPercent val="0"/>
          <c:showBubbleSize val="0"/>
        </c:dLbls>
        <c:gapWidth val="150"/>
        <c:axId val="202724864"/>
        <c:axId val="202726400"/>
      </c:barChart>
      <c:catAx>
        <c:axId val="202724864"/>
        <c:scaling>
          <c:orientation val="minMax"/>
        </c:scaling>
        <c:delete val="0"/>
        <c:axPos val="b"/>
        <c:majorTickMark val="out"/>
        <c:minorTickMark val="none"/>
        <c:tickLblPos val="nextTo"/>
        <c:crossAx val="202726400"/>
        <c:crosses val="autoZero"/>
        <c:auto val="1"/>
        <c:lblAlgn val="ctr"/>
        <c:lblOffset val="100"/>
        <c:noMultiLvlLbl val="0"/>
      </c:catAx>
      <c:valAx>
        <c:axId val="202726400"/>
        <c:scaling>
          <c:orientation val="minMax"/>
        </c:scaling>
        <c:delete val="0"/>
        <c:axPos val="l"/>
        <c:majorGridlines/>
        <c:numFmt formatCode="0.00%" sourceLinked="1"/>
        <c:majorTickMark val="out"/>
        <c:minorTickMark val="none"/>
        <c:tickLblPos val="nextTo"/>
        <c:crossAx val="20272486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0E3C7-6710-4998-9EC4-17C4FC4A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5779</Words>
  <Characters>31790</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Guía de trabajo autónomo</vt:lpstr>
    </vt:vector>
  </TitlesOfParts>
  <Company>Hewlett-Packard Company</Company>
  <LinksUpToDate>false</LinksUpToDate>
  <CharactersWithSpaces>37495</CharactersWithSpaces>
  <SharedDoc>false</SharedDoc>
  <HLinks>
    <vt:vector size="18" baseType="variant">
      <vt:variant>
        <vt:i4>7864383</vt:i4>
      </vt:variant>
      <vt:variant>
        <vt:i4>6</vt:i4>
      </vt:variant>
      <vt:variant>
        <vt:i4>0</vt:i4>
      </vt:variant>
      <vt:variant>
        <vt:i4>5</vt:i4>
      </vt:variant>
      <vt:variant>
        <vt:lpwstr>http://www.gazteaukera.euskadi.net/r587651x/es/contenidos/informacio n/</vt:lpwstr>
      </vt:variant>
      <vt:variant>
        <vt:lpwstr/>
      </vt:variant>
      <vt:variant>
        <vt:i4>786447</vt:i4>
      </vt:variant>
      <vt:variant>
        <vt:i4>3</vt:i4>
      </vt:variant>
      <vt:variant>
        <vt:i4>0</vt:i4>
      </vt:variant>
      <vt:variant>
        <vt:i4>5</vt:i4>
      </vt:variant>
      <vt:variant>
        <vt:lpwstr>http://www.eumed.net/rev/ccss/07/jamg.htm</vt:lpwstr>
      </vt:variant>
      <vt:variant>
        <vt:lpwstr/>
      </vt:variant>
      <vt:variant>
        <vt:i4>4456460</vt:i4>
      </vt:variant>
      <vt:variant>
        <vt:i4>0</vt:i4>
      </vt:variant>
      <vt:variant>
        <vt:i4>0</vt:i4>
      </vt:variant>
      <vt:variant>
        <vt:i4>5</vt:i4>
      </vt:variant>
      <vt:variant>
        <vt:lpwstr>http://www.uia.mx/actividades/publicaciones/iberoforum/2/pdf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trabajo autónomo</dc:title>
  <dc:creator>Federico Pulido Acosta</dc:creator>
  <cp:lastModifiedBy>Federico Pulido Acosta</cp:lastModifiedBy>
  <cp:revision>6</cp:revision>
  <cp:lastPrinted>2013-05-06T19:58:00Z</cp:lastPrinted>
  <dcterms:created xsi:type="dcterms:W3CDTF">2015-02-15T16:58:00Z</dcterms:created>
  <dcterms:modified xsi:type="dcterms:W3CDTF">2015-02-16T13:02:00Z</dcterms:modified>
</cp:coreProperties>
</file>