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DA0" w:rsidRPr="00851DA0" w:rsidRDefault="00851DA0" w:rsidP="00851DA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s-ES_tradnl" w:eastAsia="es-ES_tradnl"/>
        </w:rPr>
      </w:pPr>
      <w:r w:rsidRPr="00851DA0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es-ES_tradnl"/>
        </w:rPr>
        <w:t xml:space="preserve">Tabla 1. </w:t>
      </w:r>
      <w:r w:rsidRPr="00851DA0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s-ES_tradnl" w:eastAsia="es-ES_tradnl"/>
        </w:rPr>
        <w:t xml:space="preserve">Propiedades del suelo bajo condiciones naturales en el área experimental El </w:t>
      </w:r>
      <w:proofErr w:type="spellStart"/>
      <w:r w:rsidRPr="00851DA0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s-ES_tradnl" w:eastAsia="es-ES_tradnl"/>
        </w:rPr>
        <w:t>Pinarillo</w:t>
      </w:r>
      <w:proofErr w:type="spellEnd"/>
      <w:r w:rsidRPr="00851DA0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s-ES_tradnl" w:eastAsia="es-ES_tradnl"/>
        </w:rPr>
        <w:t xml:space="preserve">. Dónde: MAGS, estabilidad estructural para los </w:t>
      </w:r>
      <w:proofErr w:type="spellStart"/>
      <w:r w:rsidRPr="00851DA0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s-ES_tradnl" w:eastAsia="es-ES_tradnl"/>
        </w:rPr>
        <w:t>macroagregados</w:t>
      </w:r>
      <w:proofErr w:type="spellEnd"/>
      <w:r w:rsidRPr="00851DA0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s-ES_tradnl" w:eastAsia="es-ES_tradnl"/>
        </w:rPr>
        <w:t xml:space="preserve"> (</w:t>
      </w:r>
      <w:r w:rsidRPr="00851DA0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es-ES_tradnl"/>
        </w:rPr>
        <w:t>agregados ≥ 0,250 mm</w:t>
      </w:r>
      <w:r w:rsidRPr="00851DA0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s-ES_tradnl" w:eastAsia="es-ES_tradnl"/>
        </w:rPr>
        <w:t xml:space="preserve">); </w:t>
      </w:r>
      <w:proofErr w:type="spellStart"/>
      <w:r w:rsidRPr="00851DA0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s-ES_tradnl" w:eastAsia="es-ES_tradnl"/>
        </w:rPr>
        <w:t>mAGS</w:t>
      </w:r>
      <w:proofErr w:type="spellEnd"/>
      <w:r w:rsidRPr="00851DA0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s-ES_tradnl" w:eastAsia="es-ES_tradnl"/>
        </w:rPr>
        <w:t xml:space="preserve"> estabilidad estructural para los </w:t>
      </w:r>
      <w:proofErr w:type="spellStart"/>
      <w:r w:rsidRPr="00851DA0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s-ES_tradnl" w:eastAsia="es-ES_tradnl"/>
        </w:rPr>
        <w:t>microagregados</w:t>
      </w:r>
      <w:proofErr w:type="spellEnd"/>
      <w:r w:rsidRPr="00851DA0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s-ES_tradnl" w:eastAsia="es-ES_tradnl"/>
        </w:rPr>
        <w:t xml:space="preserve"> (</w:t>
      </w:r>
      <w:r w:rsidRPr="00851DA0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es-ES_tradnl"/>
        </w:rPr>
        <w:t>agregados &lt; 0,250 mm</w:t>
      </w:r>
      <w:r w:rsidRPr="00851DA0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s-ES_tradnl" w:eastAsia="es-ES_tradnl"/>
        </w:rPr>
        <w:t>),  CIC: capacidad de intercambio catiónico; CT: Carbono total; NT; Nitrógeno total; C/N: ratio carbono/nitrógeno; EC: Conductividad eléctrica; SOC: contenido de carbono orgánico; SWC: Contenido de agua en el suelo.</w:t>
      </w:r>
    </w:p>
    <w:p w:rsidR="00851DA0" w:rsidRPr="00851DA0" w:rsidRDefault="00851DA0" w:rsidP="00851DA0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s-ES_tradnl"/>
        </w:rPr>
      </w:pPr>
    </w:p>
    <w:tbl>
      <w:tblPr>
        <w:tblW w:w="10142" w:type="dxa"/>
        <w:tblInd w:w="-7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4"/>
        <w:gridCol w:w="250"/>
        <w:gridCol w:w="1290"/>
        <w:gridCol w:w="258"/>
        <w:gridCol w:w="258"/>
        <w:gridCol w:w="258"/>
        <w:gridCol w:w="5484"/>
      </w:tblGrid>
      <w:tr w:rsidR="00851DA0" w:rsidRPr="00851DA0" w:rsidTr="00BF7CDB">
        <w:trPr>
          <w:trHeight w:val="285"/>
        </w:trPr>
        <w:tc>
          <w:tcPr>
            <w:tcW w:w="2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Precipitación anual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(mm año</w:t>
            </w: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s-ES_tradnl" w:eastAsia="es-ES"/>
              </w:rPr>
              <w:t xml:space="preserve"> 1</w:t>
            </w: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)</w:t>
            </w: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589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Régimen climático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Seco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Especies dominantes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Chamaerops</w:t>
            </w:r>
            <w:proofErr w:type="spellEnd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 xml:space="preserve"> </w:t>
            </w:r>
            <w:proofErr w:type="spellStart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humilis</w:t>
            </w:r>
            <w:proofErr w:type="spellEnd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 xml:space="preserve">, </w:t>
            </w:r>
            <w:proofErr w:type="spellStart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Cistus</w:t>
            </w:r>
            <w:proofErr w:type="spellEnd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 xml:space="preserve"> </w:t>
            </w:r>
            <w:proofErr w:type="spellStart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albidus</w:t>
            </w:r>
            <w:proofErr w:type="spellEnd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 xml:space="preserve">, </w:t>
            </w:r>
            <w:proofErr w:type="spellStart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Rosmarinus</w:t>
            </w:r>
            <w:proofErr w:type="spellEnd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 xml:space="preserve"> </w:t>
            </w:r>
            <w:proofErr w:type="spellStart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officinalis</w:t>
            </w:r>
            <w:proofErr w:type="spellEnd"/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Propiedades del suelo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 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Gravas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(%)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56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Arena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(%)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60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Limo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(%)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32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Arcilla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(%)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8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MAGSs</w:t>
            </w:r>
            <w:proofErr w:type="spellEnd"/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(%)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34,1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mAGS</w:t>
            </w:r>
            <w:proofErr w:type="spellEnd"/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(%)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64,2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CIC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meq</w:t>
            </w:r>
            <w:proofErr w:type="spellEnd"/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 xml:space="preserve"> 100 g</w:t>
            </w: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s-ES_tradnl" w:eastAsia="es-ES"/>
              </w:rPr>
              <w:t>-1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120,4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CT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(%)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12,5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NT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(%)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0,2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C/N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74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SOC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(%)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1,9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pH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8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s-ES_tradnl" w:eastAsia="es-ES"/>
              </w:rPr>
              <w:t>EC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(µS cm</w:t>
            </w: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s-ES_tradnl" w:eastAsia="es-ES"/>
              </w:rPr>
              <w:t>-1</w:t>
            </w: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501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Humedad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(%)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8,7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Conductividad hidráulica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  <w:t>-0,5 cm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(cm h</w:t>
            </w: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s-ES"/>
              </w:rPr>
              <w:t>-1</w:t>
            </w: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1,54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  <w:t>-2,0 cm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(cm h</w:t>
            </w: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s-ES"/>
              </w:rPr>
              <w:t>-1</w:t>
            </w: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0,56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  <w:t>-6,0 cm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(cm h</w:t>
            </w: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es-ES"/>
              </w:rPr>
              <w:t>-1</w:t>
            </w: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0,42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Capacidad de campo SWC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(%)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25,2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Punto de marchitez SWC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(%)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6,4</w:t>
            </w:r>
          </w:p>
        </w:tc>
      </w:tr>
      <w:tr w:rsidR="00851DA0" w:rsidRPr="00851DA0" w:rsidTr="00BF7CDB">
        <w:trPr>
          <w:trHeight w:val="285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 xml:space="preserve">Agua disponible 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(%)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1DA0" w:rsidRPr="00851DA0" w:rsidRDefault="00851DA0" w:rsidP="00851D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_tradnl" w:eastAsia="es-ES"/>
              </w:rPr>
              <w:t>18,8</w:t>
            </w:r>
          </w:p>
        </w:tc>
      </w:tr>
    </w:tbl>
    <w:p w:rsidR="00851DA0" w:rsidRPr="00851DA0" w:rsidRDefault="00851DA0" w:rsidP="00851DA0">
      <w:pPr>
        <w:spacing w:after="200" w:line="276" w:lineRule="auto"/>
        <w:ind w:left="360"/>
        <w:jc w:val="both"/>
        <w:rPr>
          <w:rFonts w:ascii="Calibri" w:eastAsia="Calibri" w:hAnsi="Calibri" w:cs="Times New Roman"/>
        </w:rPr>
      </w:pPr>
    </w:p>
    <w:p w:rsidR="00851DA0" w:rsidRPr="00851DA0" w:rsidRDefault="00851DA0" w:rsidP="00851DA0">
      <w:pPr>
        <w:spacing w:after="200" w:line="276" w:lineRule="auto"/>
        <w:ind w:left="360"/>
        <w:jc w:val="both"/>
        <w:rPr>
          <w:rFonts w:ascii="Calibri" w:eastAsia="Calibri" w:hAnsi="Calibri" w:cs="Times New Roman"/>
        </w:rPr>
      </w:pPr>
    </w:p>
    <w:p w:rsidR="00851DA0" w:rsidRPr="00851DA0" w:rsidRDefault="00851DA0" w:rsidP="00851DA0">
      <w:pPr>
        <w:spacing w:after="200" w:line="276" w:lineRule="auto"/>
        <w:ind w:left="360"/>
        <w:jc w:val="both"/>
        <w:rPr>
          <w:rFonts w:ascii="Calibri" w:eastAsia="Calibri" w:hAnsi="Calibri" w:cs="Times New Roman"/>
        </w:rPr>
      </w:pPr>
    </w:p>
    <w:p w:rsidR="00851DA0" w:rsidRPr="00851DA0" w:rsidRDefault="00851DA0" w:rsidP="00851DA0">
      <w:pPr>
        <w:spacing w:after="200" w:line="276" w:lineRule="auto"/>
        <w:ind w:left="360"/>
        <w:jc w:val="both"/>
        <w:rPr>
          <w:rFonts w:ascii="Calibri" w:eastAsia="Calibri" w:hAnsi="Calibri" w:cs="Times New Roman"/>
        </w:rPr>
      </w:pPr>
    </w:p>
    <w:p w:rsidR="00851DA0" w:rsidRPr="00851DA0" w:rsidRDefault="00851DA0" w:rsidP="00851DA0">
      <w:pPr>
        <w:spacing w:after="200" w:line="276" w:lineRule="auto"/>
        <w:ind w:left="360"/>
        <w:jc w:val="both"/>
        <w:rPr>
          <w:rFonts w:ascii="Calibri" w:eastAsia="Calibri" w:hAnsi="Calibri" w:cs="Times New Roman"/>
        </w:rPr>
      </w:pPr>
    </w:p>
    <w:p w:rsidR="00851DA0" w:rsidRPr="00851DA0" w:rsidRDefault="00851DA0" w:rsidP="00851DA0">
      <w:pPr>
        <w:spacing w:after="200" w:line="276" w:lineRule="auto"/>
        <w:ind w:left="360"/>
        <w:jc w:val="both"/>
        <w:rPr>
          <w:rFonts w:ascii="Calibri" w:eastAsia="Calibri" w:hAnsi="Calibri" w:cs="Times New Roman"/>
        </w:rPr>
      </w:pPr>
    </w:p>
    <w:p w:rsidR="00851DA0" w:rsidRPr="00851DA0" w:rsidRDefault="00851DA0" w:rsidP="00851DA0">
      <w:pPr>
        <w:spacing w:after="20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072E" w:rsidRPr="00851DA0" w:rsidRDefault="00851DA0" w:rsidP="0056072E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1D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Tabla 2.</w:t>
      </w:r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Porcentaje de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macroagregados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(≥ 0,250 mm) para los diferentes muestreos. Dónde: C, suelos reforestados y no emendados; SM, suelos enmendados con un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mulch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de poda; PM, suelos enmendados con un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mulch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de astillas de pino (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Aleppo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pine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>); Primavera 1, 6 meses después de la reforestación; Otoño1, 12 meses después de la reforestación; Primavera2, 18 meses después de la reforestación, Otoño2, 24 meses después de la reforestación. Los núme</w:t>
      </w:r>
      <w:r w:rsidR="0056072E">
        <w:rPr>
          <w:rFonts w:ascii="Times New Roman" w:eastAsia="Calibri" w:hAnsi="Times New Roman" w:cs="Times New Roman"/>
          <w:sz w:val="24"/>
          <w:szCs w:val="24"/>
        </w:rPr>
        <w:t>ros marcados con la letra a (</w:t>
      </w:r>
      <w:r w:rsidR="0056072E" w:rsidRPr="0056072E">
        <w:rPr>
          <w:rFonts w:ascii="Times New Roman" w:eastAsia="Calibri" w:hAnsi="Times New Roman" w:cs="Times New Roman"/>
          <w:sz w:val="24"/>
          <w:szCs w:val="24"/>
          <w:vertAlign w:val="superscript"/>
        </w:rPr>
        <w:t>a</w:t>
      </w:r>
      <w:r w:rsidRPr="00851DA0">
        <w:rPr>
          <w:rFonts w:ascii="Times New Roman" w:eastAsia="Calibri" w:hAnsi="Times New Roman" w:cs="Times New Roman"/>
          <w:sz w:val="24"/>
          <w:szCs w:val="24"/>
        </w:rPr>
        <w:t>) representan la existencia de diferencias significativas (</w:t>
      </w:r>
      <w:r w:rsidRPr="00851DA0"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Pr="00851DA0">
        <w:rPr>
          <w:rFonts w:ascii="Times New Roman" w:eastAsia="Calibri" w:hAnsi="Times New Roman" w:cs="Times New Roman"/>
          <w:sz w:val="24"/>
          <w:szCs w:val="24"/>
        </w:rPr>
        <w:t>-valor ≥ 0,05) entre los tratamientos y el control (C)</w:t>
      </w:r>
      <w:r w:rsidR="0056072E">
        <w:rPr>
          <w:rFonts w:ascii="Times New Roman" w:eastAsia="Calibri" w:hAnsi="Times New Roman" w:cs="Times New Roman"/>
          <w:sz w:val="24"/>
          <w:szCs w:val="24"/>
        </w:rPr>
        <w:t>, l</w:t>
      </w:r>
      <w:r w:rsidR="0056072E" w:rsidRPr="00851DA0">
        <w:rPr>
          <w:rFonts w:ascii="Times New Roman" w:eastAsia="Calibri" w:hAnsi="Times New Roman" w:cs="Times New Roman"/>
          <w:sz w:val="24"/>
          <w:szCs w:val="24"/>
        </w:rPr>
        <w:t>os núme</w:t>
      </w:r>
      <w:r w:rsidR="0056072E">
        <w:rPr>
          <w:rFonts w:ascii="Times New Roman" w:eastAsia="Calibri" w:hAnsi="Times New Roman" w:cs="Times New Roman"/>
          <w:sz w:val="24"/>
          <w:szCs w:val="24"/>
        </w:rPr>
        <w:t>ros marcados con la letra b</w:t>
      </w:r>
      <w:r w:rsidR="0056072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56072E">
        <w:rPr>
          <w:rFonts w:ascii="Times New Roman" w:eastAsia="Calibri" w:hAnsi="Times New Roman" w:cs="Times New Roman"/>
          <w:sz w:val="24"/>
          <w:szCs w:val="24"/>
          <w:vertAlign w:val="superscript"/>
        </w:rPr>
        <w:t>b</w:t>
      </w:r>
      <w:r w:rsidR="0056072E" w:rsidRPr="00851DA0">
        <w:rPr>
          <w:rFonts w:ascii="Times New Roman" w:eastAsia="Calibri" w:hAnsi="Times New Roman" w:cs="Times New Roman"/>
          <w:sz w:val="24"/>
          <w:szCs w:val="24"/>
        </w:rPr>
        <w:t>) representan la existencia de diferencias significativas (</w:t>
      </w:r>
      <w:r w:rsidR="0056072E" w:rsidRPr="00851DA0"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="0056072E" w:rsidRPr="00851DA0">
        <w:rPr>
          <w:rFonts w:ascii="Times New Roman" w:eastAsia="Calibri" w:hAnsi="Times New Roman" w:cs="Times New Roman"/>
          <w:sz w:val="24"/>
          <w:szCs w:val="24"/>
        </w:rPr>
        <w:t xml:space="preserve">-valor ≥ 0,05) entre los tratamientos </w:t>
      </w:r>
      <w:r w:rsidR="0056072E">
        <w:rPr>
          <w:rFonts w:ascii="Times New Roman" w:eastAsia="Calibri" w:hAnsi="Times New Roman" w:cs="Times New Roman"/>
          <w:sz w:val="24"/>
          <w:szCs w:val="24"/>
        </w:rPr>
        <w:t>SM y PM.</w:t>
      </w:r>
    </w:p>
    <w:p w:rsidR="00851DA0" w:rsidRPr="00851DA0" w:rsidRDefault="00851DA0" w:rsidP="00851DA0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1DA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51DA0" w:rsidRPr="00851DA0" w:rsidRDefault="00851DA0" w:rsidP="00851DA0">
      <w:pPr>
        <w:spacing w:after="20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8010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90"/>
        <w:gridCol w:w="573"/>
        <w:gridCol w:w="877"/>
        <w:gridCol w:w="674"/>
        <w:gridCol w:w="229"/>
        <w:gridCol w:w="865"/>
        <w:gridCol w:w="664"/>
        <w:gridCol w:w="229"/>
        <w:gridCol w:w="877"/>
        <w:gridCol w:w="674"/>
        <w:gridCol w:w="229"/>
        <w:gridCol w:w="865"/>
        <w:gridCol w:w="664"/>
      </w:tblGrid>
      <w:tr w:rsidR="00851DA0" w:rsidRPr="00851DA0" w:rsidTr="00BF7CDB">
        <w:trPr>
          <w:trHeight w:val="335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  <w:t>Primavera1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  <w:t>Otoño1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  <w:t>Primavera2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  <w:t>Otoño2</w:t>
            </w:r>
          </w:p>
        </w:tc>
      </w:tr>
      <w:tr w:rsidR="00851DA0" w:rsidRPr="00851DA0" w:rsidTr="00BF7CDB">
        <w:trPr>
          <w:trHeight w:val="33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Media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SD±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Media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SD±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Media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SD±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Media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SD±</w:t>
            </w:r>
          </w:p>
        </w:tc>
      </w:tr>
      <w:tr w:rsidR="00851DA0" w:rsidRPr="00851DA0" w:rsidTr="00BF7CDB">
        <w:trPr>
          <w:trHeight w:val="351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s-ES_tradnl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27,8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22,4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6,3</w:t>
            </w:r>
          </w:p>
        </w:tc>
      </w:tr>
      <w:tr w:rsidR="00851DA0" w:rsidRPr="00851DA0" w:rsidTr="00BF7CDB">
        <w:trPr>
          <w:trHeight w:val="3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s-ES_tradnl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38,1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27,1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47,6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31,0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56072E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76,3</w:t>
            </w:r>
            <w:r w:rsidRPr="00560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es-ES_tradnl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10,5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56072E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69,2</w:t>
            </w:r>
            <w:r w:rsidRPr="00560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es-ES_tradnl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14,9</w:t>
            </w:r>
          </w:p>
        </w:tc>
      </w:tr>
      <w:tr w:rsidR="00851DA0" w:rsidRPr="00851DA0" w:rsidTr="00BF7CDB">
        <w:trPr>
          <w:trHeight w:val="33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s-ES_tradnl"/>
              </w:rPr>
              <w:t>PM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56072E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71,3</w:t>
            </w:r>
            <w:r w:rsidRPr="00560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es-ES_tradnl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56072E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78,8</w:t>
            </w:r>
            <w:r w:rsidRPr="00560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es-ES_tradnl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20,5</w:t>
            </w:r>
          </w:p>
        </w:tc>
      </w:tr>
    </w:tbl>
    <w:p w:rsidR="00851DA0" w:rsidRPr="00851DA0" w:rsidRDefault="00851DA0" w:rsidP="00851DA0">
      <w:pPr>
        <w:spacing w:after="200" w:line="276" w:lineRule="auto"/>
        <w:rPr>
          <w:rFonts w:ascii="Calibri" w:eastAsia="Calibri" w:hAnsi="Calibri" w:cs="Times New Roman"/>
          <w:color w:val="000000"/>
        </w:rPr>
      </w:pPr>
    </w:p>
    <w:p w:rsidR="00851DA0" w:rsidRPr="00851DA0" w:rsidRDefault="00851DA0" w:rsidP="00851DA0">
      <w:pPr>
        <w:spacing w:after="20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Tabla 3. Porcentaje de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microagregados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(&lt; 0,250 mm) para los diferentes muestreos. Dónde: C, suelos reforestados y no emendados; SM, suelos enmendados con un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mulch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de poda; PM, suelos enmendados con un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mulch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de astillas de pino (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Aleppo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pine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); Primavera 1, 6 meses después de la reforestación; Otoño1, 12 meses después de la reforestación; Primavera2, 18 meses después de la reforestación, Otoño2, 24 meses después de la reforestación. </w:t>
      </w:r>
      <w:r w:rsidR="0056072E" w:rsidRPr="0056072E">
        <w:rPr>
          <w:rFonts w:ascii="Times New Roman" w:eastAsia="Calibri" w:hAnsi="Times New Roman" w:cs="Times New Roman"/>
          <w:sz w:val="24"/>
          <w:szCs w:val="24"/>
        </w:rPr>
        <w:t>Los números marcados con la letra a (a) representan la existencia de diferencias significativas (p-valor ≥ 0,05) entre los tratamientos y el control (C), los números marcados con la letra b (b) representan la existencia de diferencias significativas (p-valor ≥ 0,05) entre los tratamientos SM y PM.</w:t>
      </w:r>
    </w:p>
    <w:tbl>
      <w:tblPr>
        <w:tblW w:w="8084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96"/>
        <w:gridCol w:w="579"/>
        <w:gridCol w:w="885"/>
        <w:gridCol w:w="680"/>
        <w:gridCol w:w="231"/>
        <w:gridCol w:w="873"/>
        <w:gridCol w:w="670"/>
        <w:gridCol w:w="231"/>
        <w:gridCol w:w="885"/>
        <w:gridCol w:w="680"/>
        <w:gridCol w:w="231"/>
        <w:gridCol w:w="873"/>
        <w:gridCol w:w="670"/>
      </w:tblGrid>
      <w:tr w:rsidR="00851DA0" w:rsidRPr="00851DA0" w:rsidTr="00BF7CDB">
        <w:trPr>
          <w:trHeight w:val="409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  <w:t>Primavera1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  <w:t>Otoño1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  <w:t>Primavera2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s-ES_tradnl"/>
              </w:rPr>
              <w:t>Otoño2</w:t>
            </w:r>
          </w:p>
        </w:tc>
      </w:tr>
      <w:tr w:rsidR="00851DA0" w:rsidRPr="00851DA0" w:rsidTr="00BF7CDB">
        <w:trPr>
          <w:trHeight w:val="409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Media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SD±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Media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SD±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Media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SD±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Media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SD±</w:t>
            </w:r>
          </w:p>
        </w:tc>
      </w:tr>
      <w:tr w:rsidR="00851DA0" w:rsidRPr="00851DA0" w:rsidTr="00BF7CDB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s-ES_tradnl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62,4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61,8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61,6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22,9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66,6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11,9</w:t>
            </w:r>
          </w:p>
        </w:tc>
      </w:tr>
      <w:tr w:rsidR="00851DA0" w:rsidRPr="00851DA0" w:rsidTr="00BF7CDB">
        <w:trPr>
          <w:trHeight w:val="31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s-ES_tradnl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69,3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16,9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77,5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69,7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10,0</w:t>
            </w:r>
          </w:p>
        </w:tc>
      </w:tr>
      <w:tr w:rsidR="00851DA0" w:rsidRPr="00851DA0" w:rsidTr="00BF7CDB">
        <w:trPr>
          <w:trHeight w:val="314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s-ES_tradnl"/>
              </w:rPr>
              <w:t>PM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62,3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69,8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73,3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14,3</w:t>
            </w:r>
          </w:p>
        </w:tc>
      </w:tr>
    </w:tbl>
    <w:p w:rsidR="00851DA0" w:rsidRPr="00851DA0" w:rsidRDefault="00851DA0" w:rsidP="00851DA0">
      <w:p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51DA0" w:rsidRPr="00851DA0" w:rsidRDefault="00851DA0" w:rsidP="00851DA0">
      <w:p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51DA0" w:rsidRPr="00851DA0" w:rsidRDefault="00851DA0" w:rsidP="00851DA0">
      <w:p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51DA0" w:rsidRPr="00851DA0" w:rsidRDefault="00851DA0" w:rsidP="00851DA0">
      <w:p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6072E" w:rsidRPr="0056072E" w:rsidRDefault="00851DA0" w:rsidP="0056072E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1DA0">
        <w:rPr>
          <w:rFonts w:ascii="Times New Roman" w:eastAsia="Calibri" w:hAnsi="Times New Roman" w:cs="Times New Roman"/>
          <w:sz w:val="24"/>
          <w:szCs w:val="24"/>
        </w:rPr>
        <w:lastRenderedPageBreak/>
        <w:t>Tabla 4.  Resultados medios para la conductividad hidráulica (cm h</w:t>
      </w:r>
      <w:r w:rsidRPr="00851DA0">
        <w:rPr>
          <w:rFonts w:ascii="Times New Roman" w:eastAsia="Calibri" w:hAnsi="Times New Roman" w:cs="Times New Roman"/>
          <w:sz w:val="24"/>
          <w:szCs w:val="24"/>
          <w:vertAlign w:val="superscript"/>
        </w:rPr>
        <w:t>-1</w:t>
      </w:r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)  en condiciones de suelo seco (estación seca del año 1, 12 meses después de la reforestación) para las tres succiones medidas (-0,5; -2,0 y -6,0 cm para macro, meso y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microporos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, respectivamente). Dónde: C, suelos reforestados y no emendados; SM, suelos enmendados con un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mulch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de poda; PM, suelos enmendados con un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mulch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de astillas de pino (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Aleppo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pine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>); Primavera 1, 6 meses después de la reforestación; Otoño1, 12 meses después de la reforestación; Primavera2, 18 meses después de la reforestación, Otoño2, 24 meses después de la reforestación; CV%, coeficiente de variación; H%, porcentaje de humedad del suelo a 5 cm de profundidad en el momento de la prueba; n, número de repeticiones para cada una de las succiones</w:t>
      </w:r>
      <w:r w:rsidR="0056072E">
        <w:rPr>
          <w:rFonts w:ascii="Times New Roman" w:eastAsia="Calibri" w:hAnsi="Times New Roman" w:cs="Times New Roman"/>
          <w:sz w:val="24"/>
          <w:szCs w:val="24"/>
        </w:rPr>
        <w:t>.</w:t>
      </w:r>
      <w:r w:rsidR="0056072E" w:rsidRPr="0056072E">
        <w:rPr>
          <w:rFonts w:ascii="Times New Roman" w:eastAsia="Calibri" w:hAnsi="Times New Roman" w:cs="Times New Roman"/>
          <w:sz w:val="24"/>
          <w:szCs w:val="24"/>
        </w:rPr>
        <w:t xml:space="preserve"> Los números marcados con la letra a (</w:t>
      </w:r>
      <w:r w:rsidR="0056072E" w:rsidRPr="0056072E">
        <w:rPr>
          <w:rFonts w:ascii="Times New Roman" w:eastAsia="Calibri" w:hAnsi="Times New Roman" w:cs="Times New Roman"/>
          <w:sz w:val="24"/>
          <w:szCs w:val="24"/>
          <w:vertAlign w:val="superscript"/>
        </w:rPr>
        <w:t>a</w:t>
      </w:r>
      <w:r w:rsidR="0056072E" w:rsidRPr="0056072E">
        <w:rPr>
          <w:rFonts w:ascii="Times New Roman" w:eastAsia="Calibri" w:hAnsi="Times New Roman" w:cs="Times New Roman"/>
          <w:sz w:val="24"/>
          <w:szCs w:val="24"/>
        </w:rPr>
        <w:t>) representan la existencia de diferencias significativas (</w:t>
      </w:r>
      <w:r w:rsidR="0056072E" w:rsidRPr="0056072E"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="0056072E" w:rsidRPr="0056072E">
        <w:rPr>
          <w:rFonts w:ascii="Times New Roman" w:eastAsia="Calibri" w:hAnsi="Times New Roman" w:cs="Times New Roman"/>
          <w:sz w:val="24"/>
          <w:szCs w:val="24"/>
        </w:rPr>
        <w:t>-valor ≥ 0,05) entre los tratamientos y el control (C), los números marcados con la letra b (</w:t>
      </w:r>
      <w:r w:rsidR="0056072E" w:rsidRPr="0056072E">
        <w:rPr>
          <w:rFonts w:ascii="Times New Roman" w:eastAsia="Calibri" w:hAnsi="Times New Roman" w:cs="Times New Roman"/>
          <w:sz w:val="24"/>
          <w:szCs w:val="24"/>
          <w:vertAlign w:val="superscript"/>
        </w:rPr>
        <w:t>b</w:t>
      </w:r>
      <w:r w:rsidR="0056072E" w:rsidRPr="0056072E">
        <w:rPr>
          <w:rFonts w:ascii="Times New Roman" w:eastAsia="Calibri" w:hAnsi="Times New Roman" w:cs="Times New Roman"/>
          <w:sz w:val="24"/>
          <w:szCs w:val="24"/>
        </w:rPr>
        <w:t>) representan la existencia de diferencias significativas (</w:t>
      </w:r>
      <w:r w:rsidR="0056072E" w:rsidRPr="0056072E"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="0056072E" w:rsidRPr="0056072E">
        <w:rPr>
          <w:rFonts w:ascii="Times New Roman" w:eastAsia="Calibri" w:hAnsi="Times New Roman" w:cs="Times New Roman"/>
          <w:sz w:val="24"/>
          <w:szCs w:val="24"/>
        </w:rPr>
        <w:t>-valor ≥ 0,05) entre los tratamientos SM y PM.</w:t>
      </w:r>
    </w:p>
    <w:p w:rsidR="00851DA0" w:rsidRPr="00851DA0" w:rsidRDefault="00851DA0" w:rsidP="00851DA0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70"/>
        <w:gridCol w:w="729"/>
        <w:gridCol w:w="856"/>
        <w:gridCol w:w="951"/>
        <w:gridCol w:w="842"/>
        <w:gridCol w:w="230"/>
        <w:gridCol w:w="840"/>
        <w:gridCol w:w="745"/>
        <w:gridCol w:w="293"/>
        <w:gridCol w:w="874"/>
        <w:gridCol w:w="774"/>
      </w:tblGrid>
      <w:tr w:rsidR="00851DA0" w:rsidRPr="00851DA0" w:rsidTr="00BF7CDB">
        <w:trPr>
          <w:trHeight w:val="325"/>
        </w:trPr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-0,5 cm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-2,0 cm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 xml:space="preserve"> -6,0 cm</w:t>
            </w:r>
          </w:p>
        </w:tc>
      </w:tr>
      <w:tr w:rsidR="00851DA0" w:rsidRPr="00851DA0" w:rsidTr="00BF7CDB">
        <w:trPr>
          <w:trHeight w:val="325"/>
        </w:trPr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Tratamiento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n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H (%)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Media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CV%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Media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SD±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Media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SD±</w:t>
            </w:r>
          </w:p>
        </w:tc>
      </w:tr>
      <w:tr w:rsidR="00851DA0" w:rsidRPr="00851DA0" w:rsidTr="00BF7CDB">
        <w:trPr>
          <w:trHeight w:val="325"/>
        </w:trPr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C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046C5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8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3,1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0,59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14,04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0,34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19,15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0,27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22,46</w:t>
            </w:r>
          </w:p>
        </w:tc>
      </w:tr>
      <w:tr w:rsidR="00851DA0" w:rsidRPr="00851DA0" w:rsidTr="00BF7CDB">
        <w:trPr>
          <w:trHeight w:val="309"/>
        </w:trPr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SM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046C5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8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3,8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56072E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3,40</w:t>
            </w:r>
            <w:r w:rsidRPr="00560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es-ES_tradnl"/>
              </w:rPr>
              <w:t>a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35,45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1,20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59,20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0,60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49,06</w:t>
            </w:r>
          </w:p>
        </w:tc>
      </w:tr>
      <w:tr w:rsidR="00851DA0" w:rsidRPr="00851DA0" w:rsidTr="00BF7CDB">
        <w:trPr>
          <w:trHeight w:val="309"/>
        </w:trPr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PM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046C5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3,6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56072E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2,72</w:t>
            </w:r>
            <w:r w:rsidRPr="00560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es-ES_tradnl"/>
              </w:rPr>
              <w:t>a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33,69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56072E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2,21</w:t>
            </w:r>
            <w:r w:rsidRPr="00560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es-ES_tradnl"/>
              </w:rPr>
              <w:t>a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21,89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0,72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42,64</w:t>
            </w:r>
          </w:p>
        </w:tc>
      </w:tr>
    </w:tbl>
    <w:p w:rsidR="00851DA0" w:rsidRPr="00851DA0" w:rsidRDefault="00851DA0" w:rsidP="00851DA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51DA0" w:rsidRPr="00851DA0" w:rsidRDefault="00851DA0" w:rsidP="00851DA0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6072E" w:rsidRPr="0056072E" w:rsidRDefault="00851DA0" w:rsidP="0056072E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1DA0">
        <w:rPr>
          <w:rFonts w:ascii="Times New Roman" w:eastAsia="Calibri" w:hAnsi="Times New Roman" w:cs="Times New Roman"/>
          <w:sz w:val="24"/>
          <w:szCs w:val="24"/>
        </w:rPr>
        <w:t>Tabla  5. Resultados medios para la conductividad hidráulica (cm h</w:t>
      </w:r>
      <w:r w:rsidRPr="00851DA0">
        <w:rPr>
          <w:rFonts w:ascii="Times New Roman" w:eastAsia="Calibri" w:hAnsi="Times New Roman" w:cs="Times New Roman"/>
          <w:sz w:val="24"/>
          <w:szCs w:val="24"/>
          <w:vertAlign w:val="superscript"/>
        </w:rPr>
        <w:t>-1</w:t>
      </w:r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) en condiciones de suelo húmedo (estación húmeda del año 2, 18 meses después de la reforestación) para las tres succiones medidas (-0,5; -2,0 y -6,0 cm para macro, meso y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microporos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, respectivamente). Dónde: C, suelos reforestados y no emendados; SM, suelos enmendados con un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mulch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de poda; PM, suelos enmendados con un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mulch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de astillas de pino (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Aleppo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</w:rPr>
        <w:t>pine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</w:rPr>
        <w:t xml:space="preserve">); Primavera 1, 6 meses después de la reforestación; Otoño1, 12 meses después de la reforestación; Primavera2, 18 meses después de la reforestación, Otoño2, 24 meses después de la reforestación; CV%, coeficiente de variación; H%, porcentaje de humedad del suelo a 5 cm de profundidad en el momento de la prueba; n, número de repeticiones para cada una de las succiones. </w:t>
      </w:r>
      <w:r w:rsidR="0056072E" w:rsidRPr="0056072E">
        <w:rPr>
          <w:rFonts w:ascii="Times New Roman" w:eastAsia="Calibri" w:hAnsi="Times New Roman" w:cs="Times New Roman"/>
          <w:sz w:val="24"/>
          <w:szCs w:val="24"/>
        </w:rPr>
        <w:t>Los números marcados con la letra a (</w:t>
      </w:r>
      <w:r w:rsidR="0056072E" w:rsidRPr="0056072E">
        <w:rPr>
          <w:rFonts w:ascii="Times New Roman" w:eastAsia="Calibri" w:hAnsi="Times New Roman" w:cs="Times New Roman"/>
          <w:sz w:val="24"/>
          <w:szCs w:val="24"/>
          <w:vertAlign w:val="superscript"/>
        </w:rPr>
        <w:t>a</w:t>
      </w:r>
      <w:r w:rsidR="0056072E" w:rsidRPr="0056072E">
        <w:rPr>
          <w:rFonts w:ascii="Times New Roman" w:eastAsia="Calibri" w:hAnsi="Times New Roman" w:cs="Times New Roman"/>
          <w:sz w:val="24"/>
          <w:szCs w:val="24"/>
        </w:rPr>
        <w:t>) representan la existencia de diferencias significativas (</w:t>
      </w:r>
      <w:r w:rsidR="0056072E" w:rsidRPr="0056072E"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="0056072E" w:rsidRPr="0056072E">
        <w:rPr>
          <w:rFonts w:ascii="Times New Roman" w:eastAsia="Calibri" w:hAnsi="Times New Roman" w:cs="Times New Roman"/>
          <w:sz w:val="24"/>
          <w:szCs w:val="24"/>
        </w:rPr>
        <w:t>-valor ≥ 0,05) entre los tratamientos y el control (C), los números marcados con la letra b (</w:t>
      </w:r>
      <w:r w:rsidR="0056072E" w:rsidRPr="0056072E">
        <w:rPr>
          <w:rFonts w:ascii="Times New Roman" w:eastAsia="Calibri" w:hAnsi="Times New Roman" w:cs="Times New Roman"/>
          <w:sz w:val="24"/>
          <w:szCs w:val="24"/>
          <w:vertAlign w:val="superscript"/>
        </w:rPr>
        <w:t>b</w:t>
      </w:r>
      <w:r w:rsidR="0056072E" w:rsidRPr="0056072E">
        <w:rPr>
          <w:rFonts w:ascii="Times New Roman" w:eastAsia="Calibri" w:hAnsi="Times New Roman" w:cs="Times New Roman"/>
          <w:sz w:val="24"/>
          <w:szCs w:val="24"/>
        </w:rPr>
        <w:t>) representan la existencia de diferencias significativas (</w:t>
      </w:r>
      <w:r w:rsidR="0056072E" w:rsidRPr="0056072E"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="0056072E" w:rsidRPr="0056072E">
        <w:rPr>
          <w:rFonts w:ascii="Times New Roman" w:eastAsia="Calibri" w:hAnsi="Times New Roman" w:cs="Times New Roman"/>
          <w:sz w:val="24"/>
          <w:szCs w:val="24"/>
        </w:rPr>
        <w:t>-valor ≥ 0,05) entre los tratamientos SM y PM.</w:t>
      </w:r>
    </w:p>
    <w:p w:rsidR="00851DA0" w:rsidRPr="00851DA0" w:rsidRDefault="00851DA0" w:rsidP="00851DA0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686" w:type="dxa"/>
        <w:tblInd w:w="5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29"/>
        <w:gridCol w:w="649"/>
        <w:gridCol w:w="770"/>
        <w:gridCol w:w="944"/>
        <w:gridCol w:w="839"/>
        <w:gridCol w:w="224"/>
        <w:gridCol w:w="944"/>
        <w:gridCol w:w="839"/>
        <w:gridCol w:w="284"/>
        <w:gridCol w:w="989"/>
        <w:gridCol w:w="875"/>
      </w:tblGrid>
      <w:tr w:rsidR="00851DA0" w:rsidRPr="00851DA0" w:rsidTr="00BF7CDB">
        <w:trPr>
          <w:trHeight w:val="372"/>
        </w:trPr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-0,5</w:t>
            </w:r>
          </w:p>
        </w:tc>
        <w:tc>
          <w:tcPr>
            <w:tcW w:w="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-2,0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-6,0</w:t>
            </w:r>
          </w:p>
        </w:tc>
      </w:tr>
      <w:tr w:rsidR="00851DA0" w:rsidRPr="00851DA0" w:rsidTr="00BF7CDB">
        <w:trPr>
          <w:trHeight w:val="372"/>
        </w:trPr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Tratamiento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n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H%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Media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CV%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Media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SD±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Media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SD±</w:t>
            </w:r>
          </w:p>
        </w:tc>
      </w:tr>
      <w:tr w:rsidR="00851DA0" w:rsidRPr="00851DA0" w:rsidTr="00BF7CDB">
        <w:trPr>
          <w:trHeight w:val="372"/>
        </w:trPr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C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046C5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8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9,1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0,99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32,03</w:t>
            </w:r>
          </w:p>
        </w:tc>
        <w:tc>
          <w:tcPr>
            <w:tcW w:w="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0,46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18,86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0,33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55,04</w:t>
            </w:r>
          </w:p>
        </w:tc>
      </w:tr>
      <w:tr w:rsidR="00851DA0" w:rsidRPr="00851DA0" w:rsidTr="00BF7CDB">
        <w:trPr>
          <w:trHeight w:val="355"/>
        </w:trPr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lastRenderedPageBreak/>
              <w:t>SM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046C5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11,4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56072E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2,41</w:t>
            </w:r>
            <w:r w:rsidRPr="00560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es-ES_tradnl"/>
              </w:rPr>
              <w:t>a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19,26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0,71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30,67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0,69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20,92</w:t>
            </w:r>
          </w:p>
        </w:tc>
      </w:tr>
      <w:tr w:rsidR="00851DA0" w:rsidRPr="00851DA0" w:rsidTr="00BF7CDB">
        <w:trPr>
          <w:trHeight w:val="355"/>
        </w:trPr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PM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046C5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56072E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2,60</w:t>
            </w:r>
            <w:r w:rsidRPr="00560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es-ES_tradnl"/>
              </w:rPr>
              <w:t>a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23,38</w:t>
            </w:r>
          </w:p>
        </w:tc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56072E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1,35</w:t>
            </w:r>
            <w:r w:rsidRPr="00560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es-ES_tradnl"/>
              </w:rPr>
              <w:t>a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26,03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56072E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0,84</w:t>
            </w:r>
            <w:r w:rsidRPr="0056072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  <w:lang w:eastAsia="es-ES_tradnl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851DA0" w:rsidRPr="00851DA0" w:rsidRDefault="00851DA0" w:rsidP="00851DA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</w:pPr>
            <w:r w:rsidRPr="00851DA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s-ES_tradnl"/>
              </w:rPr>
              <w:t>15,47</w:t>
            </w:r>
          </w:p>
        </w:tc>
      </w:tr>
    </w:tbl>
    <w:p w:rsidR="00851DA0" w:rsidRPr="00851DA0" w:rsidRDefault="00851DA0" w:rsidP="00851DA0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51DA0" w:rsidRPr="00851DA0" w:rsidRDefault="00851DA0" w:rsidP="00851DA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s-ES_tradnl"/>
        </w:rPr>
      </w:pPr>
      <w:r w:rsidRPr="00851DA0">
        <w:rPr>
          <w:rFonts w:ascii="Times New Roman" w:eastAsia="Calibri" w:hAnsi="Times New Roman" w:cs="Times New Roman"/>
          <w:sz w:val="24"/>
          <w:szCs w:val="24"/>
        </w:rPr>
        <w:t>Tabla 6. (a)</w:t>
      </w:r>
      <w:r w:rsidRPr="00851DA0">
        <w:rPr>
          <w:rFonts w:ascii="Times New Roman" w:eastAsia="Calibri" w:hAnsi="Times New Roman" w:cs="Times New Roman"/>
          <w:sz w:val="24"/>
          <w:szCs w:val="24"/>
          <w:lang w:val="es-ES_tradnl"/>
        </w:rPr>
        <w:t xml:space="preserve"> Medida de la vegetación: modelos mixtos de efecto generalizado (GLM) para la supervivencia y el crecimiento, diámetro y altura, 30 meses después de la reforestación; (b) Prueba Post-hoc de comparación múltiple para las medias observadas (prueba de </w:t>
      </w:r>
      <w:proofErr w:type="spellStart"/>
      <w:r w:rsidRPr="00851DA0">
        <w:rPr>
          <w:rFonts w:ascii="Times New Roman" w:eastAsia="Calibri" w:hAnsi="Times New Roman" w:cs="Times New Roman"/>
          <w:sz w:val="24"/>
          <w:szCs w:val="24"/>
          <w:lang w:val="es-ES_tradnl"/>
        </w:rPr>
        <w:t>Tukey</w:t>
      </w:r>
      <w:proofErr w:type="spellEnd"/>
      <w:r w:rsidRPr="00851DA0">
        <w:rPr>
          <w:rFonts w:ascii="Times New Roman" w:eastAsia="Calibri" w:hAnsi="Times New Roman" w:cs="Times New Roman"/>
          <w:sz w:val="24"/>
          <w:szCs w:val="24"/>
          <w:lang w:val="es-ES_tradnl"/>
        </w:rPr>
        <w:t xml:space="preserve">, </w:t>
      </w:r>
      <w:r w:rsidRPr="00851DA0">
        <w:rPr>
          <w:rFonts w:ascii="Times New Roman" w:eastAsia="Calibri" w:hAnsi="Times New Roman" w:cs="Times New Roman"/>
          <w:i/>
          <w:sz w:val="24"/>
          <w:szCs w:val="24"/>
          <w:lang w:val="es-ES_tradnl"/>
        </w:rPr>
        <w:t>P</w:t>
      </w:r>
      <w:r w:rsidRPr="00851DA0">
        <w:rPr>
          <w:rFonts w:ascii="Times New Roman" w:eastAsia="Calibri" w:hAnsi="Times New Roman" w:cs="Times New Roman"/>
          <w:sz w:val="24"/>
          <w:szCs w:val="24"/>
          <w:lang w:val="es-ES_tradnl"/>
        </w:rPr>
        <w:t xml:space="preserve"> &lt;0,05). SM: acolchado de paja; PM: acolchado de astillas de pino carrasco (</w:t>
      </w:r>
      <w:proofErr w:type="spellStart"/>
      <w:r w:rsidRPr="00851DA0">
        <w:rPr>
          <w:rFonts w:ascii="Times New Roman" w:eastAsia="Calibri" w:hAnsi="Times New Roman" w:cs="Times New Roman"/>
          <w:i/>
          <w:sz w:val="24"/>
          <w:szCs w:val="24"/>
          <w:lang w:val="es-ES_tradnl"/>
        </w:rPr>
        <w:t>Pinus</w:t>
      </w:r>
      <w:proofErr w:type="spellEnd"/>
      <w:r w:rsidRPr="00851DA0">
        <w:rPr>
          <w:rFonts w:ascii="Times New Roman" w:eastAsia="Calibri" w:hAnsi="Times New Roman" w:cs="Times New Roman"/>
          <w:i/>
          <w:sz w:val="24"/>
          <w:szCs w:val="24"/>
          <w:lang w:val="es-ES_tradnl"/>
        </w:rPr>
        <w:t xml:space="preserve"> </w:t>
      </w:r>
      <w:proofErr w:type="spellStart"/>
      <w:r w:rsidRPr="00851DA0">
        <w:rPr>
          <w:rFonts w:ascii="Times New Roman" w:eastAsia="Calibri" w:hAnsi="Times New Roman" w:cs="Times New Roman"/>
          <w:i/>
          <w:sz w:val="24"/>
          <w:szCs w:val="24"/>
          <w:lang w:val="es-ES_tradnl"/>
        </w:rPr>
        <w:t>halepensis</w:t>
      </w:r>
      <w:proofErr w:type="spellEnd"/>
      <w:r w:rsidR="00ED0F9A">
        <w:rPr>
          <w:rFonts w:ascii="Times New Roman" w:eastAsia="Calibri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="00ED0F9A" w:rsidRPr="00ED0F9A">
        <w:rPr>
          <w:rFonts w:ascii="Times New Roman" w:eastAsia="Calibri" w:hAnsi="Times New Roman" w:cs="Times New Roman"/>
          <w:i/>
          <w:sz w:val="24"/>
          <w:szCs w:val="24"/>
          <w:lang w:val="es-ES_tradnl"/>
        </w:rPr>
        <w:t>Mill</w:t>
      </w:r>
      <w:proofErr w:type="spellEnd"/>
      <w:r w:rsidRPr="00ED0F9A">
        <w:rPr>
          <w:rFonts w:ascii="Times New Roman" w:eastAsia="Calibri" w:hAnsi="Times New Roman" w:cs="Times New Roman"/>
          <w:i/>
          <w:sz w:val="24"/>
          <w:szCs w:val="24"/>
          <w:lang w:val="es-ES_tradnl"/>
        </w:rPr>
        <w:t>.);</w:t>
      </w:r>
      <w:r w:rsidRPr="00851DA0">
        <w:rPr>
          <w:rFonts w:ascii="Times New Roman" w:eastAsia="Calibri" w:hAnsi="Times New Roman" w:cs="Times New Roman"/>
          <w:sz w:val="24"/>
          <w:szCs w:val="24"/>
          <w:lang w:val="es-ES_tradnl"/>
        </w:rPr>
        <w:t xml:space="preserve"> C: suelos reforestados y no enmendados.* representa diferencias significativas con el control </w:t>
      </w:r>
      <w:r w:rsidRPr="00851DA0">
        <w:rPr>
          <w:rFonts w:ascii="Times New Roman" w:eastAsia="Calibri" w:hAnsi="Times New Roman" w:cs="Times New Roman"/>
          <w:sz w:val="24"/>
          <w:szCs w:val="24"/>
        </w:rPr>
        <w:t>(</w:t>
      </w:r>
      <w:r w:rsidRPr="00851DA0"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Pr="00851DA0">
        <w:rPr>
          <w:rFonts w:ascii="Times New Roman" w:eastAsia="Calibri" w:hAnsi="Times New Roman" w:cs="Times New Roman"/>
          <w:sz w:val="24"/>
          <w:szCs w:val="24"/>
        </w:rPr>
        <w:t>-valor ≥ 0,05).</w:t>
      </w:r>
    </w:p>
    <w:p w:rsidR="00851DA0" w:rsidRPr="00851DA0" w:rsidRDefault="00851DA0" w:rsidP="00851DA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41" w:rightFromText="141" w:vertAnchor="page" w:horzAnchor="margin" w:tblpXSpec="center" w:tblpY="5450"/>
        <w:tblW w:w="7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</w:tblGrid>
      <w:tr w:rsidR="0056072E" w:rsidRPr="00851DA0" w:rsidTr="0056072E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s-ES"/>
              </w:rPr>
              <w:t>(a)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Efecto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X</w:t>
            </w: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GB" w:eastAsia="es-ES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GB" w:eastAsia="es-ES"/>
              </w:rPr>
              <w:t>P</w:t>
            </w: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-value</w:t>
            </w:r>
          </w:p>
        </w:tc>
      </w:tr>
      <w:tr w:rsidR="0056072E" w:rsidRPr="00851DA0" w:rsidTr="0056072E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 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Supervivencia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</w:tr>
      <w:tr w:rsidR="0056072E" w:rsidRPr="00851DA0" w:rsidTr="0056072E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GB" w:eastAsia="es-ES"/>
              </w:rPr>
              <w:t>Enmienda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GB"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GB"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43.94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s-ES"/>
              </w:rPr>
              <w:t>0.000*</w:t>
            </w:r>
          </w:p>
        </w:tc>
      </w:tr>
      <w:tr w:rsidR="0056072E" w:rsidRPr="00851DA0" w:rsidTr="0056072E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GB" w:eastAsia="es-ES"/>
              </w:rPr>
              <w:t>Especies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GB"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GB"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13.73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s-ES"/>
              </w:rPr>
              <w:t>0.008*</w:t>
            </w:r>
          </w:p>
        </w:tc>
      </w:tr>
      <w:tr w:rsidR="0056072E" w:rsidRPr="00851DA0" w:rsidTr="0056072E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s-ES"/>
              </w:rPr>
              <w:t>(b)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SM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PM</w:t>
            </w:r>
          </w:p>
        </w:tc>
      </w:tr>
      <w:tr w:rsidR="0056072E" w:rsidRPr="00851DA0" w:rsidTr="0056072E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s-ES"/>
              </w:rPr>
              <w:t> 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proofErr w:type="spellStart"/>
            <w:r w:rsidRPr="00851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s-ES"/>
              </w:rPr>
              <w:t>Supervivencia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s-ES"/>
              </w:rPr>
              <w:t>0.000*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ES"/>
              </w:rPr>
            </w:pPr>
            <w:r w:rsidRPr="00851D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s-ES"/>
              </w:rPr>
              <w:t>0.000*</w:t>
            </w:r>
          </w:p>
        </w:tc>
      </w:tr>
      <w:tr w:rsidR="0056072E" w:rsidRPr="00851DA0" w:rsidTr="0056072E">
        <w:trPr>
          <w:trHeight w:val="300"/>
        </w:trPr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</w:pPr>
            <w:r w:rsidRPr="00851DA0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6072E" w:rsidRPr="00851DA0" w:rsidRDefault="0056072E" w:rsidP="005607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</w:pPr>
            <w:r w:rsidRPr="00851DA0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s-ES"/>
              </w:rPr>
              <w:t> </w:t>
            </w:r>
          </w:p>
        </w:tc>
      </w:tr>
    </w:tbl>
    <w:p w:rsidR="00AE5B1E" w:rsidRDefault="00ED0F9A">
      <w:bookmarkStart w:id="0" w:name="_GoBack"/>
      <w:bookmarkEnd w:id="0"/>
    </w:p>
    <w:sectPr w:rsidR="00AE5B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DA0"/>
    <w:rsid w:val="00022C78"/>
    <w:rsid w:val="0056072E"/>
    <w:rsid w:val="008046C5"/>
    <w:rsid w:val="00851DA0"/>
    <w:rsid w:val="00A67130"/>
    <w:rsid w:val="00ED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26041D-7E31-4B01-8393-3EF02F4BE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72E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C012F-7F9C-43E4-A3ED-506699D27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996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Málaga</Company>
  <LinksUpToDate>false</LinksUpToDate>
  <CharactersWithSpaces>6463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UMA</dc:creator>
  <cp:keywords/>
  <dc:description/>
  <cp:lastModifiedBy>Usuario UMA</cp:lastModifiedBy>
  <cp:revision>4</cp:revision>
  <dcterms:created xsi:type="dcterms:W3CDTF">2017-06-12T10:55:00Z</dcterms:created>
  <dcterms:modified xsi:type="dcterms:W3CDTF">2017-06-12T12:57:00Z</dcterms:modified>
</cp:coreProperties>
</file>