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BB" w:rsidRDefault="008D34CE">
      <w:r>
        <w:t xml:space="preserve">GRÁFICOS </w:t>
      </w:r>
    </w:p>
    <w:p w:rsidR="008D34CE" w:rsidRDefault="008D34CE" w:rsidP="008D34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GRÁFICO </w:t>
      </w:r>
      <w:r w:rsidRPr="008D452A">
        <w:rPr>
          <w:rFonts w:ascii="Times New Roman" w:hAnsi="Times New Roman" w:cs="Times New Roman"/>
        </w:rPr>
        <w:t>1</w:t>
      </w:r>
    </w:p>
    <w:p w:rsidR="008D34CE" w:rsidRPr="008D452A" w:rsidRDefault="008D34CE" w:rsidP="008D34CE">
      <w:pPr>
        <w:pStyle w:val="Default"/>
        <w:jc w:val="center"/>
        <w:rPr>
          <w:rFonts w:ascii="Times New Roman" w:hAnsi="Times New Roman" w:cs="Times New Roman"/>
        </w:rPr>
      </w:pPr>
      <w:r w:rsidRPr="008D452A">
        <w:rPr>
          <w:rFonts w:ascii="Times New Roman" w:hAnsi="Times New Roman" w:cs="Times New Roman"/>
        </w:rPr>
        <w:t>Evolución de la población absoluta de Cartagena</w:t>
      </w:r>
    </w:p>
    <w:p w:rsidR="008D34CE" w:rsidRPr="008D452A" w:rsidRDefault="008D34CE" w:rsidP="008D34C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10300" cy="2590800"/>
            <wp:effectExtent l="0" t="0" r="0" b="0"/>
            <wp:docPr id="1" name="Obje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8D452A">
        <w:rPr>
          <w:rFonts w:ascii="Times New Roman" w:hAnsi="Times New Roman" w:cs="Times New Roman"/>
        </w:rPr>
        <w:t xml:space="preserve">                            Fuente: Elaboración propia a partir de datos del INE</w:t>
      </w:r>
    </w:p>
    <w:p w:rsidR="008D34CE" w:rsidRPr="008D452A" w:rsidRDefault="008D34CE" w:rsidP="008D34CE">
      <w:pPr>
        <w:pStyle w:val="Default"/>
        <w:jc w:val="both"/>
        <w:rPr>
          <w:rFonts w:ascii="Times New Roman" w:hAnsi="Times New Roman" w:cs="Times New Roman"/>
        </w:rPr>
      </w:pPr>
    </w:p>
    <w:p w:rsidR="008D34CE" w:rsidRPr="008D452A" w:rsidRDefault="008D34CE" w:rsidP="008D34CE">
      <w:pPr>
        <w:pStyle w:val="Default"/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</w:p>
    <w:p w:rsidR="008D34CE" w:rsidRDefault="008D34CE" w:rsidP="008D34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GRÁFICO 2</w:t>
      </w:r>
    </w:p>
    <w:p w:rsidR="008D34CE" w:rsidRPr="008D452A" w:rsidRDefault="008D34CE" w:rsidP="008D34CE">
      <w:pPr>
        <w:pStyle w:val="Default"/>
        <w:jc w:val="center"/>
        <w:rPr>
          <w:rFonts w:ascii="Times New Roman" w:hAnsi="Times New Roman" w:cs="Times New Roman"/>
        </w:rPr>
      </w:pPr>
      <w:r w:rsidRPr="008D452A">
        <w:rPr>
          <w:rFonts w:ascii="Times New Roman" w:hAnsi="Times New Roman" w:cs="Times New Roman"/>
        </w:rPr>
        <w:t xml:space="preserve"> Evolución de la población absoluta de La  Unión </w:t>
      </w:r>
    </w:p>
    <w:p w:rsidR="008D34CE" w:rsidRPr="008D452A" w:rsidRDefault="008D34CE" w:rsidP="008D34CE">
      <w:pPr>
        <w:pStyle w:val="Default"/>
        <w:jc w:val="both"/>
        <w:rPr>
          <w:rFonts w:ascii="Times New Roman" w:hAnsi="Times New Roman" w:cs="Times New Roman"/>
        </w:rPr>
      </w:pPr>
    </w:p>
    <w:p w:rsidR="008D34CE" w:rsidRPr="008D452A" w:rsidRDefault="008D34CE" w:rsidP="008D34C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10300" cy="259080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8D452A">
        <w:rPr>
          <w:rFonts w:ascii="Times New Roman" w:hAnsi="Times New Roman" w:cs="Times New Roman"/>
        </w:rPr>
        <w:t xml:space="preserve">              Fuente: Elaboración propia a partir de datos del INE</w:t>
      </w:r>
    </w:p>
    <w:p w:rsidR="008D34CE" w:rsidRDefault="008D34CE"/>
    <w:p w:rsidR="008D34CE" w:rsidRDefault="008D34CE"/>
    <w:p w:rsidR="008D34CE" w:rsidRDefault="008D34CE"/>
    <w:p w:rsidR="008D34CE" w:rsidRDefault="008D34CE"/>
    <w:p w:rsidR="008D34CE" w:rsidRDefault="008D34CE"/>
    <w:p w:rsidR="008D34CE" w:rsidRDefault="008D34CE"/>
    <w:p w:rsidR="008D34CE" w:rsidRDefault="008D34CE"/>
    <w:p w:rsidR="008D34CE" w:rsidRDefault="008D34CE" w:rsidP="008D34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GRÁFICO  3</w:t>
      </w:r>
    </w:p>
    <w:p w:rsidR="008D34CE" w:rsidRPr="008D452A" w:rsidRDefault="008D34CE" w:rsidP="008D34CE">
      <w:pPr>
        <w:pStyle w:val="Default"/>
        <w:jc w:val="center"/>
        <w:rPr>
          <w:rFonts w:ascii="Times New Roman" w:hAnsi="Times New Roman" w:cs="Times New Roman"/>
        </w:rPr>
      </w:pPr>
      <w:r w:rsidRPr="008D452A">
        <w:rPr>
          <w:rFonts w:ascii="Times New Roman" w:hAnsi="Times New Roman" w:cs="Times New Roman"/>
        </w:rPr>
        <w:t>Evolución de la población por porcentajes</w:t>
      </w:r>
      <w:r>
        <w:rPr>
          <w:rFonts w:ascii="Times New Roman" w:hAnsi="Times New Roman" w:cs="Times New Roman"/>
        </w:rPr>
        <w:t xml:space="preserve"> en La </w:t>
      </w:r>
      <w:r w:rsidRPr="008D452A">
        <w:rPr>
          <w:rFonts w:ascii="Times New Roman" w:hAnsi="Times New Roman" w:cs="Times New Roman"/>
        </w:rPr>
        <w:t xml:space="preserve">Unión y Cartagena </w:t>
      </w:r>
    </w:p>
    <w:p w:rsidR="008D34CE" w:rsidRPr="008D452A" w:rsidRDefault="008D34CE" w:rsidP="008D34CE">
      <w:pPr>
        <w:pStyle w:val="Default"/>
        <w:jc w:val="both"/>
        <w:rPr>
          <w:rFonts w:ascii="Times New Roman" w:hAnsi="Times New Roman" w:cs="Times New Roman"/>
        </w:rPr>
      </w:pPr>
    </w:p>
    <w:p w:rsidR="008D34CE" w:rsidRDefault="008D34CE" w:rsidP="008D34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inline distT="0" distB="0" distL="0" distR="0">
            <wp:extent cx="6229350" cy="2990850"/>
            <wp:effectExtent l="0" t="0" r="0" b="0"/>
            <wp:docPr id="5" name="Objet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8D452A">
        <w:rPr>
          <w:rFonts w:ascii="Times New Roman" w:hAnsi="Times New Roman" w:cs="Times New Roman"/>
        </w:rPr>
        <w:t xml:space="preserve">               Fuente: Elaboración propia a partir de datos del INE</w:t>
      </w:r>
    </w:p>
    <w:p w:rsidR="008D34CE" w:rsidRDefault="008D34CE" w:rsidP="008D34CE">
      <w:pPr>
        <w:rPr>
          <w:rFonts w:ascii="Times New Roman" w:hAnsi="Times New Roman" w:cs="Times New Roman"/>
        </w:rPr>
      </w:pPr>
    </w:p>
    <w:p w:rsidR="008D34CE" w:rsidRDefault="008D34CE" w:rsidP="008D3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GRÁFICO  4</w:t>
      </w:r>
      <w:r w:rsidRPr="008D452A">
        <w:rPr>
          <w:rFonts w:ascii="Times New Roman" w:hAnsi="Times New Roman"/>
          <w:sz w:val="24"/>
          <w:szCs w:val="24"/>
        </w:rPr>
        <w:t xml:space="preserve">  </w:t>
      </w:r>
    </w:p>
    <w:p w:rsidR="008D34CE" w:rsidRPr="008D452A" w:rsidRDefault="008D34CE" w:rsidP="008D3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52A">
        <w:rPr>
          <w:rFonts w:ascii="Times New Roman" w:hAnsi="Times New Roman"/>
          <w:sz w:val="24"/>
          <w:szCs w:val="24"/>
        </w:rPr>
        <w:t xml:space="preserve">Relación de inventario de bienes culturales </w:t>
      </w:r>
    </w:p>
    <w:p w:rsidR="008D34CE" w:rsidRPr="008D452A" w:rsidRDefault="008D34CE" w:rsidP="008D3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5943600" cy="3057525"/>
            <wp:effectExtent l="0" t="0" r="0" b="0"/>
            <wp:docPr id="7" name="Objeto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8D452A">
        <w:rPr>
          <w:rFonts w:ascii="Times New Roman" w:hAnsi="Times New Roman"/>
          <w:sz w:val="24"/>
          <w:szCs w:val="24"/>
        </w:rPr>
        <w:t>Fuente: Elaboración propia a partir del catálogo de BIC</w:t>
      </w:r>
    </w:p>
    <w:p w:rsidR="008D34CE" w:rsidRDefault="008D34CE" w:rsidP="008D34CE"/>
    <w:sectPr w:rsidR="008D34CE" w:rsidSect="00CA4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4CE"/>
    <w:rsid w:val="002C7A18"/>
    <w:rsid w:val="002E6D97"/>
    <w:rsid w:val="008D34CE"/>
    <w:rsid w:val="00CA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D34CE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0483619344773725E-2"/>
          <c:y val="6.1068702290076327E-2"/>
          <c:w val="0.76443057722308916"/>
          <c:h val="0.80152671755725169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Cartagena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Sheet1!$B$1:$M$1</c:f>
              <c:numCache>
                <c:formatCode>General</c:formatCode>
                <c:ptCount val="12"/>
                <c:pt idx="0">
                  <c:v>1900</c:v>
                </c:pt>
                <c:pt idx="1">
                  <c:v>1910</c:v>
                </c:pt>
                <c:pt idx="2">
                  <c:v>1920</c:v>
                </c:pt>
                <c:pt idx="3">
                  <c:v>1930</c:v>
                </c:pt>
                <c:pt idx="4">
                  <c:v>1940</c:v>
                </c:pt>
                <c:pt idx="5">
                  <c:v>1950</c:v>
                </c:pt>
                <c:pt idx="6">
                  <c:v>1960</c:v>
                </c:pt>
                <c:pt idx="7">
                  <c:v>1970</c:v>
                </c:pt>
                <c:pt idx="8">
                  <c:v>1981</c:v>
                </c:pt>
                <c:pt idx="9">
                  <c:v>1991</c:v>
                </c:pt>
                <c:pt idx="10">
                  <c:v>2001</c:v>
                </c:pt>
                <c:pt idx="11">
                  <c:v>2013</c:v>
                </c:pt>
              </c:numCache>
            </c:num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103307</c:v>
                </c:pt>
                <c:pt idx="1">
                  <c:v>102524</c:v>
                </c:pt>
                <c:pt idx="2">
                  <c:v>101613</c:v>
                </c:pt>
                <c:pt idx="3">
                  <c:v>102705</c:v>
                </c:pt>
                <c:pt idx="4">
                  <c:v>115468</c:v>
                </c:pt>
                <c:pt idx="5">
                  <c:v>113160</c:v>
                </c:pt>
                <c:pt idx="6">
                  <c:v>123630</c:v>
                </c:pt>
                <c:pt idx="7">
                  <c:v>146904</c:v>
                </c:pt>
                <c:pt idx="8">
                  <c:v>172751</c:v>
                </c:pt>
                <c:pt idx="9">
                  <c:v>173061</c:v>
                </c:pt>
                <c:pt idx="10">
                  <c:v>184686</c:v>
                </c:pt>
                <c:pt idx="11">
                  <c:v>216655</c:v>
                </c:pt>
              </c:numCache>
            </c:numRef>
          </c:val>
        </c:ser>
        <c:gapDepth val="0"/>
        <c:shape val="box"/>
        <c:axId val="121077760"/>
        <c:axId val="121079296"/>
        <c:axId val="0"/>
      </c:bar3DChart>
      <c:catAx>
        <c:axId val="12107776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21079296"/>
        <c:crosses val="autoZero"/>
        <c:auto val="1"/>
        <c:lblAlgn val="ctr"/>
        <c:lblOffset val="100"/>
        <c:tickLblSkip val="1"/>
        <c:tickMarkSkip val="1"/>
      </c:catAx>
      <c:valAx>
        <c:axId val="1210792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21077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207488299531999"/>
          <c:y val="0.45801526717557262"/>
          <c:w val="0.12168486739469574"/>
          <c:h val="8.3969465648855032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563182527301116E-2"/>
          <c:y val="6.130268199233721E-2"/>
          <c:w val="0.79251170046801878"/>
          <c:h val="0.8007662835249042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La Unión</c:v>
                </c:pt>
              </c:strCache>
            </c:strRef>
          </c:tx>
          <c:spPr>
            <a:solidFill>
              <a:srgbClr val="993366"/>
            </a:solidFill>
            <a:ln w="12719">
              <a:solidFill>
                <a:srgbClr val="000000"/>
              </a:solidFill>
              <a:prstDash val="solid"/>
            </a:ln>
          </c:spPr>
          <c:cat>
            <c:numRef>
              <c:f>Sheet1!$B$1:$M$1</c:f>
              <c:numCache>
                <c:formatCode>General</c:formatCode>
                <c:ptCount val="12"/>
                <c:pt idx="0">
                  <c:v>1900</c:v>
                </c:pt>
                <c:pt idx="1">
                  <c:v>1910</c:v>
                </c:pt>
                <c:pt idx="2">
                  <c:v>1920</c:v>
                </c:pt>
                <c:pt idx="3">
                  <c:v>1930</c:v>
                </c:pt>
                <c:pt idx="4">
                  <c:v>1940</c:v>
                </c:pt>
                <c:pt idx="5">
                  <c:v>1950</c:v>
                </c:pt>
                <c:pt idx="6">
                  <c:v>1960</c:v>
                </c:pt>
                <c:pt idx="7">
                  <c:v>1970</c:v>
                </c:pt>
                <c:pt idx="8">
                  <c:v>1981</c:v>
                </c:pt>
                <c:pt idx="9">
                  <c:v>1991</c:v>
                </c:pt>
                <c:pt idx="10">
                  <c:v>2001</c:v>
                </c:pt>
                <c:pt idx="11">
                  <c:v>2013</c:v>
                </c:pt>
              </c:numCache>
            </c:numRef>
          </c:cat>
          <c:val>
            <c:numRef>
              <c:f>Sheet1!$B$3:$M$3</c:f>
              <c:numCache>
                <c:formatCode>General</c:formatCode>
                <c:ptCount val="12"/>
                <c:pt idx="0">
                  <c:v>30275</c:v>
                </c:pt>
                <c:pt idx="1">
                  <c:v>30249</c:v>
                </c:pt>
                <c:pt idx="2">
                  <c:v>24837</c:v>
                </c:pt>
                <c:pt idx="3">
                  <c:v>11776</c:v>
                </c:pt>
                <c:pt idx="4">
                  <c:v>10079</c:v>
                </c:pt>
                <c:pt idx="5">
                  <c:v>10131</c:v>
                </c:pt>
                <c:pt idx="6">
                  <c:v>11687</c:v>
                </c:pt>
                <c:pt idx="7">
                  <c:v>13145</c:v>
                </c:pt>
                <c:pt idx="8">
                  <c:v>14097</c:v>
                </c:pt>
                <c:pt idx="9">
                  <c:v>13752</c:v>
                </c:pt>
                <c:pt idx="10">
                  <c:v>14793</c:v>
                </c:pt>
                <c:pt idx="11">
                  <c:v>19263</c:v>
                </c:pt>
              </c:numCache>
            </c:numRef>
          </c:val>
        </c:ser>
        <c:gapDepth val="0"/>
        <c:shape val="box"/>
        <c:axId val="160849280"/>
        <c:axId val="168412288"/>
        <c:axId val="0"/>
      </c:bar3DChart>
      <c:catAx>
        <c:axId val="160849280"/>
        <c:scaling>
          <c:orientation val="minMax"/>
        </c:scaling>
        <c:axPos val="b"/>
        <c:numFmt formatCode="General" sourceLinked="1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68412288"/>
        <c:crosses val="autoZero"/>
        <c:auto val="1"/>
        <c:lblAlgn val="ctr"/>
        <c:lblOffset val="100"/>
        <c:tickLblSkip val="1"/>
        <c:tickMarkSkip val="1"/>
      </c:catAx>
      <c:valAx>
        <c:axId val="168412288"/>
        <c:scaling>
          <c:orientation val="minMax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60849280"/>
        <c:crosses val="autoZero"/>
        <c:crossBetween val="between"/>
      </c:valAx>
      <c:spPr>
        <a:noFill/>
        <a:ln w="25439">
          <a:noFill/>
        </a:ln>
      </c:spPr>
    </c:plotArea>
    <c:legend>
      <c:legendPos val="r"/>
      <c:layout>
        <c:manualLayout>
          <c:xMode val="edge"/>
          <c:yMode val="edge"/>
          <c:x val="0.88923556942277682"/>
          <c:y val="0.45977011494252878"/>
          <c:w val="0.10452418096723874"/>
          <c:h val="8.4291187739463647E-2"/>
        </c:manualLayout>
      </c:layout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097978227060685E-2"/>
          <c:y val="5.5921052631578934E-2"/>
          <c:w val="0.79626749611197511"/>
          <c:h val="0.822368421052631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La Unión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Sheet1!$B$1:$M$1</c:f>
              <c:numCache>
                <c:formatCode>General</c:formatCode>
                <c:ptCount val="12"/>
                <c:pt idx="0">
                  <c:v>1900</c:v>
                </c:pt>
                <c:pt idx="1">
                  <c:v>1910</c:v>
                </c:pt>
                <c:pt idx="2">
                  <c:v>1920</c:v>
                </c:pt>
                <c:pt idx="3">
                  <c:v>1930</c:v>
                </c:pt>
                <c:pt idx="4">
                  <c:v>1940</c:v>
                </c:pt>
                <c:pt idx="5">
                  <c:v>1950</c:v>
                </c:pt>
                <c:pt idx="6">
                  <c:v>1960</c:v>
                </c:pt>
                <c:pt idx="7">
                  <c:v>1970</c:v>
                </c:pt>
                <c:pt idx="8">
                  <c:v>1981</c:v>
                </c:pt>
                <c:pt idx="9">
                  <c:v>1991</c:v>
                </c:pt>
                <c:pt idx="10">
                  <c:v>2001</c:v>
                </c:pt>
                <c:pt idx="11">
                  <c:v>2013</c:v>
                </c:pt>
              </c:numCache>
            </c:numRef>
          </c:cat>
          <c:val>
            <c:numRef>
              <c:f>Sheet1!$B$2:$M$2</c:f>
              <c:numCache>
                <c:formatCode>General</c:formatCode>
                <c:ptCount val="12"/>
                <c:pt idx="0">
                  <c:v>0</c:v>
                </c:pt>
                <c:pt idx="1">
                  <c:v>-8.0000000000000029E-2</c:v>
                </c:pt>
                <c:pt idx="2">
                  <c:v>-17.959999999999994</c:v>
                </c:pt>
                <c:pt idx="3">
                  <c:v>-61.1</c:v>
                </c:pt>
                <c:pt idx="4">
                  <c:v>-66.7</c:v>
                </c:pt>
                <c:pt idx="5">
                  <c:v>-66.53</c:v>
                </c:pt>
                <c:pt idx="6">
                  <c:v>-61.39</c:v>
                </c:pt>
                <c:pt idx="7">
                  <c:v>-56.58</c:v>
                </c:pt>
                <c:pt idx="8">
                  <c:v>-53.43</c:v>
                </c:pt>
                <c:pt idx="9">
                  <c:v>-54.64</c:v>
                </c:pt>
                <c:pt idx="10">
                  <c:v>-51.13</c:v>
                </c:pt>
                <c:pt idx="11">
                  <c:v>-36.370000000000005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Cartagena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Sheet1!$B$1:$M$1</c:f>
              <c:numCache>
                <c:formatCode>General</c:formatCode>
                <c:ptCount val="12"/>
                <c:pt idx="0">
                  <c:v>1900</c:v>
                </c:pt>
                <c:pt idx="1">
                  <c:v>1910</c:v>
                </c:pt>
                <c:pt idx="2">
                  <c:v>1920</c:v>
                </c:pt>
                <c:pt idx="3">
                  <c:v>1930</c:v>
                </c:pt>
                <c:pt idx="4">
                  <c:v>1940</c:v>
                </c:pt>
                <c:pt idx="5">
                  <c:v>1950</c:v>
                </c:pt>
                <c:pt idx="6">
                  <c:v>1960</c:v>
                </c:pt>
                <c:pt idx="7">
                  <c:v>1970</c:v>
                </c:pt>
                <c:pt idx="8">
                  <c:v>1981</c:v>
                </c:pt>
                <c:pt idx="9">
                  <c:v>1991</c:v>
                </c:pt>
                <c:pt idx="10">
                  <c:v>2001</c:v>
                </c:pt>
                <c:pt idx="11">
                  <c:v>2013</c:v>
                </c:pt>
              </c:numCache>
            </c:numRef>
          </c:cat>
          <c:val>
            <c:numRef>
              <c:f>Sheet1!$B$3:$M$3</c:f>
              <c:numCache>
                <c:formatCode>General</c:formatCode>
                <c:ptCount val="12"/>
                <c:pt idx="0">
                  <c:v>0</c:v>
                </c:pt>
                <c:pt idx="1">
                  <c:v>-0.8</c:v>
                </c:pt>
                <c:pt idx="2">
                  <c:v>-1.7</c:v>
                </c:pt>
                <c:pt idx="3">
                  <c:v>-0.64000000000000024</c:v>
                </c:pt>
                <c:pt idx="4">
                  <c:v>11.7</c:v>
                </c:pt>
                <c:pt idx="5">
                  <c:v>9.4600000000000026</c:v>
                </c:pt>
                <c:pt idx="6">
                  <c:v>19.59</c:v>
                </c:pt>
                <c:pt idx="7">
                  <c:v>42.11</c:v>
                </c:pt>
                <c:pt idx="8">
                  <c:v>67.11</c:v>
                </c:pt>
                <c:pt idx="9">
                  <c:v>67.410000000000025</c:v>
                </c:pt>
                <c:pt idx="10">
                  <c:v>78.649999999999991</c:v>
                </c:pt>
                <c:pt idx="11">
                  <c:v>109.58</c:v>
                </c:pt>
              </c:numCache>
            </c:numRef>
          </c:val>
        </c:ser>
        <c:gapDepth val="0"/>
        <c:shape val="box"/>
        <c:axId val="100652928"/>
        <c:axId val="100654464"/>
        <c:axId val="0"/>
      </c:bar3DChart>
      <c:catAx>
        <c:axId val="1006529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00654464"/>
        <c:crosses val="autoZero"/>
        <c:auto val="1"/>
        <c:lblAlgn val="ctr"/>
        <c:lblOffset val="100"/>
        <c:tickLblSkip val="1"/>
        <c:tickMarkSkip val="1"/>
      </c:catAx>
      <c:valAx>
        <c:axId val="1006544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006529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</c:legendEntry>
      <c:layout>
        <c:manualLayout>
          <c:xMode val="edge"/>
          <c:yMode val="edge"/>
          <c:x val="0.8724727838258165"/>
          <c:y val="0.43092105263157893"/>
          <c:w val="0.12130637636080871"/>
          <c:h val="0.1414473684210527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hPercent val="5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89250814332247"/>
          <c:y val="5.4662379421221902E-2"/>
          <c:w val="0.74267100977198719"/>
          <c:h val="0.5787781350482316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Cartagena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Castilletes</c:v>
                </c:pt>
                <c:pt idx="1">
                  <c:v>Instalaciones mineras</c:v>
                </c:pt>
                <c:pt idx="2">
                  <c:v>Lavaderos</c:v>
                </c:pt>
                <c:pt idx="3">
                  <c:v>Horno calcinación</c:v>
                </c:pt>
                <c:pt idx="4">
                  <c:v>Túnel</c:v>
                </c:pt>
                <c:pt idx="5">
                  <c:v>Chimenea</c:v>
                </c:pt>
                <c:pt idx="6">
                  <c:v>Minado</c:v>
                </c:pt>
                <c:pt idx="7">
                  <c:v>Lavadero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30</c:v>
                </c:pt>
                <c:pt idx="1">
                  <c:v>68</c:v>
                </c:pt>
                <c:pt idx="2">
                  <c:v>16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La Unión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Castilletes</c:v>
                </c:pt>
                <c:pt idx="1">
                  <c:v>Instalaciones mineras</c:v>
                </c:pt>
                <c:pt idx="2">
                  <c:v>Lavaderos</c:v>
                </c:pt>
                <c:pt idx="3">
                  <c:v>Horno calcinación</c:v>
                </c:pt>
                <c:pt idx="4">
                  <c:v>Túnel</c:v>
                </c:pt>
                <c:pt idx="5">
                  <c:v>Chimenea</c:v>
                </c:pt>
                <c:pt idx="6">
                  <c:v>Minado</c:v>
                </c:pt>
                <c:pt idx="7">
                  <c:v>Lavadero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22</c:v>
                </c:pt>
                <c:pt idx="1">
                  <c:v>6</c:v>
                </c:pt>
                <c:pt idx="2">
                  <c:v>17</c:v>
                </c:pt>
                <c:pt idx="3">
                  <c:v>8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</c:ser>
        <c:gapDepth val="0"/>
        <c:shape val="box"/>
        <c:axId val="12112640"/>
        <c:axId val="12114176"/>
        <c:axId val="0"/>
      </c:bar3DChart>
      <c:catAx>
        <c:axId val="12112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372000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2114176"/>
        <c:crosses val="autoZero"/>
        <c:auto val="1"/>
        <c:lblAlgn val="ctr"/>
        <c:lblOffset val="100"/>
        <c:tickLblSkip val="1"/>
        <c:tickMarkSkip val="1"/>
      </c:catAx>
      <c:valAx>
        <c:axId val="121141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2112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94788273615638"/>
          <c:y val="0.43408360128617385"/>
          <c:w val="0.11400651465798048"/>
          <c:h val="0.1318327974276527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Paco</cp:lastModifiedBy>
  <cp:revision>1</cp:revision>
  <dcterms:created xsi:type="dcterms:W3CDTF">2015-01-31T20:05:00Z</dcterms:created>
  <dcterms:modified xsi:type="dcterms:W3CDTF">2015-01-31T20:27:00Z</dcterms:modified>
</cp:coreProperties>
</file>