
<file path=[Content_Types].xml><?xml version="1.0" encoding="utf-8"?>
<Types xmlns="http://schemas.openxmlformats.org/package/2006/content-types">
  <Override PartName="/word/footnotes.xml" ContentType="application/vnd.openxmlformats-officedocument.wordprocessingml.footnotes+xml"/>
  <Override PartName="/word/charts/chart10.xml" ContentType="application/vnd.openxmlformats-officedocument.drawingml.chart+xml"/>
  <Default Extension="png" ContentType="image/png"/>
  <Override PartName="/customXml/itemProps1.xml" ContentType="application/vnd.openxmlformats-officedocument.customXmlProperties+xml"/>
  <Override PartName="/word/comments.xml" ContentType="application/vnd.openxmlformats-officedocument.wordprocessingml.comments+xml"/>
  <Override PartName="/word/theme/themeOverride1.xml" ContentType="application/vnd.openxmlformats-officedocument.themeOverride+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word/charts/chart8.xml" ContentType="application/vnd.openxmlformats-officedocument.drawingml.chart+xml"/>
  <Override PartName="/word/charts/chart9.xml" ContentType="application/vnd.openxmlformats-officedocument.drawingml.chart+xml"/>
  <Override PartName="/docProps/app.xml" ContentType="application/vnd.openxmlformats-officedocument.extended-properties+xml"/>
  <Override PartName="/word/settings.xml" ContentType="application/vnd.openxmlformats-officedocument.wordprocessingml.settings+xml"/>
  <Override PartName="/word/charts/chart6.xml" ContentType="application/vnd.openxmlformats-officedocument.drawingml.chart+xml"/>
  <Override PartName="/word/charts/chart7.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15.xml" ContentType="application/vnd.openxmlformats-officedocument.drawingml.chart+xml"/>
  <Override PartName="/word/charts/chart16.xml" ContentType="application/vnd.openxmlformats-officedocument.drawingml.chart+xml"/>
  <Override PartName="/word/footer1.xml" ContentType="application/vnd.openxmlformats-officedocument.wordprocessingml.footer+xml"/>
  <Override PartName="/word/theme/theme1.xml" ContentType="application/vnd.openxmlformats-officedocument.theme+xml"/>
  <Default Extension="xlsx" ContentType="application/vnd.openxmlformats-officedocument.spreadsheetml.sheet"/>
  <Override PartName="/word/charts/chart2.xml" ContentType="application/vnd.openxmlformats-officedocument.drawingml.chart+xml"/>
  <Override PartName="/word/charts/chart3.xml" ContentType="application/vnd.openxmlformats-officedocument.drawingml.chart+xml"/>
  <Override PartName="/word/charts/chart13.xml" ContentType="application/vnd.openxmlformats-officedocument.drawingml.chart+xml"/>
  <Override PartName="/word/charts/chart14.xml" ContentType="application/vnd.openxmlformats-officedocument.drawingml.chart+xml"/>
  <Override PartName="/word/fontTable.xml" ContentType="application/vnd.openxmlformats-officedocument.wordprocessingml.fontTable+xml"/>
  <Override PartName="/word/webSettings.xml" ContentType="application/vnd.openxmlformats-officedocument.wordprocessingml.webSettings+xml"/>
  <Override PartName="/word/charts/chart1.xml" ContentType="application/vnd.openxmlformats-officedocument.drawingml.chart+xml"/>
  <Override PartName="/word/charts/chart11.xml" ContentType="application/vnd.openxmlformats-officedocument.drawingml.chart+xml"/>
  <Override PartName="/word/charts/chart12.xml" ContentType="application/vnd.openxmlformats-officedocument.drawingml.chart+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53BF3" w:rsidRPr="00D23C1E" w:rsidRDefault="00D23C1E" w:rsidP="00483C4B">
      <w:pPr>
        <w:jc w:val="center"/>
        <w:rPr>
          <w:rFonts w:ascii="Times New Roman" w:hAnsi="Times New Roman" w:cs="Times New Roman"/>
          <w:b/>
          <w:sz w:val="24"/>
          <w:szCs w:val="28"/>
          <w:lang w:val="es-ES_tradnl"/>
        </w:rPr>
      </w:pPr>
      <w:commentRangeStart w:id="0"/>
      <w:r w:rsidRPr="00D23C1E">
        <w:rPr>
          <w:rFonts w:ascii="Times New Roman" w:hAnsi="Times New Roman" w:cs="Times New Roman"/>
          <w:b/>
          <w:sz w:val="24"/>
          <w:szCs w:val="28"/>
          <w:lang w:val="es-ES_tradnl"/>
        </w:rPr>
        <w:t xml:space="preserve">ENVEJECIMIENTO DE LA POBLACIÓN EN LA REGIÓN DE MURCIA: </w:t>
      </w:r>
      <w:r w:rsidR="006842CC">
        <w:rPr>
          <w:rFonts w:ascii="Times New Roman" w:hAnsi="Times New Roman" w:cs="Times New Roman"/>
          <w:b/>
          <w:sz w:val="24"/>
          <w:szCs w:val="28"/>
          <w:lang w:val="es-ES_tradnl"/>
        </w:rPr>
        <w:t>CAUSAS Y CONSECUENCIAS</w:t>
      </w:r>
      <w:commentRangeEnd w:id="0"/>
      <w:r w:rsidR="006842CC">
        <w:rPr>
          <w:rStyle w:val="Refdecomentario"/>
        </w:rPr>
        <w:commentReference w:id="0"/>
      </w:r>
    </w:p>
    <w:p w:rsidR="00DA2EF5" w:rsidRDefault="00DA2EF5">
      <w:pPr>
        <w:rPr>
          <w:rFonts w:ascii="Times New Roman" w:hAnsi="Times New Roman" w:cs="Times New Roman"/>
          <w:b/>
          <w:sz w:val="28"/>
          <w:szCs w:val="28"/>
          <w:lang w:val="es-ES_tradnl"/>
        </w:rPr>
      </w:pPr>
    </w:p>
    <w:p w:rsidR="00483C4B" w:rsidRPr="00483C4B" w:rsidRDefault="00483C4B" w:rsidP="00483C4B">
      <w:pPr>
        <w:jc w:val="center"/>
        <w:rPr>
          <w:rFonts w:ascii="Times New Roman" w:hAnsi="Times New Roman" w:cs="Times New Roman"/>
          <w:sz w:val="24"/>
          <w:szCs w:val="24"/>
          <w:lang w:val="es-ES_tradnl"/>
        </w:rPr>
      </w:pPr>
      <w:r>
        <w:rPr>
          <w:rFonts w:ascii="Times New Roman" w:hAnsi="Times New Roman" w:cs="Times New Roman"/>
          <w:sz w:val="24"/>
          <w:szCs w:val="24"/>
          <w:lang w:val="es-ES_tradnl"/>
        </w:rPr>
        <w:t>Carlos Moya Ortega</w:t>
      </w:r>
      <w:r>
        <w:rPr>
          <w:rStyle w:val="Refdenotaalpie"/>
          <w:rFonts w:ascii="Times New Roman" w:hAnsi="Times New Roman" w:cs="Times New Roman"/>
          <w:sz w:val="24"/>
          <w:szCs w:val="24"/>
          <w:lang w:val="es-ES_tradnl"/>
        </w:rPr>
        <w:footnoteReference w:id="2"/>
      </w:r>
      <w:r w:rsidR="00896D47">
        <w:rPr>
          <w:rFonts w:ascii="Times New Roman" w:hAnsi="Times New Roman" w:cs="Times New Roman"/>
          <w:sz w:val="24"/>
          <w:szCs w:val="24"/>
          <w:lang w:val="es-ES_tradnl"/>
        </w:rPr>
        <w:t xml:space="preserve"> </w:t>
      </w:r>
      <w:r w:rsidRPr="00483C4B">
        <w:rPr>
          <w:rFonts w:ascii="Times New Roman" w:hAnsi="Times New Roman" w:cs="Times New Roman"/>
          <w:sz w:val="24"/>
          <w:szCs w:val="24"/>
          <w:lang w:val="es-ES_tradnl"/>
        </w:rPr>
        <w:t>y Ramón García Marín</w:t>
      </w:r>
      <w:r>
        <w:rPr>
          <w:rStyle w:val="Refdenotaalpie"/>
          <w:rFonts w:ascii="Times New Roman" w:hAnsi="Times New Roman" w:cs="Times New Roman"/>
          <w:sz w:val="24"/>
          <w:szCs w:val="24"/>
          <w:lang w:val="es-ES_tradnl"/>
        </w:rPr>
        <w:footnoteReference w:id="3"/>
      </w:r>
    </w:p>
    <w:p w:rsidR="00483C4B" w:rsidRPr="005C2047" w:rsidRDefault="00483C4B" w:rsidP="00483C4B">
      <w:pPr>
        <w:jc w:val="center"/>
        <w:rPr>
          <w:rFonts w:ascii="Times New Roman" w:hAnsi="Times New Roman" w:cs="Times New Roman"/>
          <w:sz w:val="24"/>
          <w:szCs w:val="24"/>
          <w:lang w:val="es-ES_tradnl"/>
        </w:rPr>
      </w:pPr>
      <w:r w:rsidRPr="005C2047">
        <w:rPr>
          <w:rFonts w:ascii="Times New Roman" w:hAnsi="Times New Roman" w:cs="Times New Roman"/>
          <w:sz w:val="24"/>
          <w:szCs w:val="24"/>
          <w:lang w:val="es-ES_tradnl"/>
        </w:rPr>
        <w:t>Universidad de Murcia</w:t>
      </w:r>
    </w:p>
    <w:p w:rsidR="00DA2EF5" w:rsidRPr="005C2047" w:rsidRDefault="008C6891">
      <w:pPr>
        <w:rPr>
          <w:rFonts w:ascii="Times New Roman" w:hAnsi="Times New Roman" w:cs="Times New Roman"/>
          <w:b/>
          <w:sz w:val="24"/>
          <w:szCs w:val="24"/>
          <w:lang w:val="es-ES_tradnl"/>
        </w:rPr>
      </w:pPr>
      <w:r>
        <w:rPr>
          <w:rFonts w:ascii="Times New Roman" w:hAnsi="Times New Roman" w:cs="Times New Roman"/>
          <w:b/>
          <w:sz w:val="24"/>
          <w:szCs w:val="24"/>
          <w:lang w:val="es-ES_tradnl"/>
        </w:rPr>
        <w:t>RESUMEN</w:t>
      </w:r>
    </w:p>
    <w:p w:rsidR="005C2047" w:rsidRDefault="005C2047">
      <w:pPr>
        <w:rPr>
          <w:rFonts w:ascii="Times New Roman" w:hAnsi="Times New Roman" w:cs="Times New Roman"/>
          <w:b/>
          <w:sz w:val="24"/>
          <w:szCs w:val="24"/>
          <w:lang w:val="es-ES_tradnl"/>
        </w:rPr>
      </w:pPr>
    </w:p>
    <w:p w:rsidR="00B4070A" w:rsidRDefault="00FC4CEF" w:rsidP="00B01621">
      <w:pPr>
        <w:spacing w:line="336" w:lineRule="auto"/>
        <w:ind w:firstLine="284"/>
        <w:jc w:val="both"/>
        <w:rPr>
          <w:rFonts w:ascii="Times New Roman" w:hAnsi="Times New Roman" w:cs="Times New Roman"/>
          <w:b/>
          <w:sz w:val="24"/>
          <w:szCs w:val="24"/>
          <w:lang w:val="es-ES_tradnl"/>
        </w:rPr>
      </w:pPr>
      <w:r>
        <w:rPr>
          <w:rFonts w:ascii="Times New Roman" w:hAnsi="Times New Roman" w:cs="Times New Roman"/>
          <w:sz w:val="24"/>
          <w:szCs w:val="24"/>
        </w:rPr>
        <w:t xml:space="preserve">Las importantes </w:t>
      </w:r>
      <w:r w:rsidR="00B4070A" w:rsidRPr="00B4070A">
        <w:rPr>
          <w:rFonts w:ascii="Times New Roman" w:hAnsi="Times New Roman" w:cs="Times New Roman"/>
          <w:sz w:val="24"/>
          <w:szCs w:val="24"/>
        </w:rPr>
        <w:t>ganancias en esperanza de vida logradas en los últimos años, junto con tasas de fecundidad inferiores al nivel de reemplazo, han originado un progresivo envejecimiento de la población española, que se manifestará en un descenso ininterrumpido de la población en edad de trabajar y en un aumento continuado de la proporción de población de más de 65 años. La Región de Murcia, aunque presenta mejores expectativas demográficas que otras regiones español</w:t>
      </w:r>
      <w:r w:rsidR="007069E8">
        <w:rPr>
          <w:rFonts w:ascii="Times New Roman" w:hAnsi="Times New Roman" w:cs="Times New Roman"/>
          <w:sz w:val="24"/>
          <w:szCs w:val="24"/>
        </w:rPr>
        <w:t>as, también experimenta un notable</w:t>
      </w:r>
      <w:r w:rsidR="00B4070A" w:rsidRPr="00B4070A">
        <w:rPr>
          <w:rFonts w:ascii="Times New Roman" w:hAnsi="Times New Roman" w:cs="Times New Roman"/>
          <w:sz w:val="24"/>
          <w:szCs w:val="24"/>
        </w:rPr>
        <w:t xml:space="preserve"> envejecimiento de su población.</w:t>
      </w:r>
      <w:r w:rsidR="00895E92">
        <w:rPr>
          <w:rFonts w:ascii="Times New Roman" w:hAnsi="Times New Roman" w:cs="Times New Roman"/>
          <w:sz w:val="24"/>
          <w:szCs w:val="24"/>
        </w:rPr>
        <w:t xml:space="preserve"> </w:t>
      </w:r>
      <w:r w:rsidR="00895E92" w:rsidRPr="002419B8">
        <w:rPr>
          <w:rFonts w:ascii="Times New Roman" w:hAnsi="Times New Roman" w:cs="Times New Roman"/>
          <w:sz w:val="24"/>
          <w:szCs w:val="24"/>
        </w:rPr>
        <w:t xml:space="preserve">De este modo, </w:t>
      </w:r>
      <w:r w:rsidR="003E6211">
        <w:rPr>
          <w:rFonts w:ascii="Times New Roman" w:hAnsi="Times New Roman" w:cs="Times New Roman"/>
          <w:sz w:val="24"/>
          <w:szCs w:val="24"/>
        </w:rPr>
        <w:t xml:space="preserve">si no se mejora </w:t>
      </w:r>
      <w:r w:rsidR="00895E92" w:rsidRPr="002419B8">
        <w:rPr>
          <w:rFonts w:ascii="Times New Roman" w:hAnsi="Times New Roman" w:cs="Times New Roman"/>
          <w:sz w:val="24"/>
          <w:szCs w:val="24"/>
        </w:rPr>
        <w:t>la situación actual de dependencia y recesión económica, el Estado del Bienestar puede verse comprometido en su mantenimiento y su continuidad será más difícil con una estructura demográfica envejecida.</w:t>
      </w:r>
    </w:p>
    <w:p w:rsidR="00B4070A" w:rsidRDefault="00B4070A">
      <w:pPr>
        <w:rPr>
          <w:rFonts w:ascii="Times New Roman" w:hAnsi="Times New Roman" w:cs="Times New Roman"/>
          <w:b/>
          <w:sz w:val="24"/>
          <w:szCs w:val="24"/>
          <w:lang w:val="es-ES_tradnl"/>
        </w:rPr>
      </w:pPr>
    </w:p>
    <w:p w:rsidR="00B4070A" w:rsidRPr="00B4070A" w:rsidRDefault="005C2047" w:rsidP="00B4070A">
      <w:pPr>
        <w:rPr>
          <w:rFonts w:ascii="Times New Roman" w:hAnsi="Times New Roman" w:cs="Times New Roman"/>
          <w:sz w:val="24"/>
          <w:szCs w:val="24"/>
        </w:rPr>
      </w:pPr>
      <w:r>
        <w:rPr>
          <w:rFonts w:ascii="Times New Roman" w:hAnsi="Times New Roman" w:cs="Times New Roman"/>
          <w:b/>
          <w:sz w:val="24"/>
          <w:szCs w:val="24"/>
          <w:lang w:val="es-ES_tradnl"/>
        </w:rPr>
        <w:t>Palabras clave:</w:t>
      </w:r>
      <w:r w:rsidR="0084610F">
        <w:rPr>
          <w:rFonts w:ascii="Times New Roman" w:hAnsi="Times New Roman" w:cs="Times New Roman"/>
          <w:sz w:val="24"/>
          <w:szCs w:val="24"/>
        </w:rPr>
        <w:t xml:space="preserve"> envejecimiento, </w:t>
      </w:r>
      <w:r w:rsidR="0084610F" w:rsidRPr="00B4070A">
        <w:rPr>
          <w:rFonts w:ascii="Times New Roman" w:hAnsi="Times New Roman" w:cs="Times New Roman"/>
          <w:sz w:val="24"/>
          <w:szCs w:val="24"/>
        </w:rPr>
        <w:t>Región de Murcia</w:t>
      </w:r>
      <w:r w:rsidR="0084610F">
        <w:rPr>
          <w:rFonts w:ascii="Times New Roman" w:hAnsi="Times New Roman" w:cs="Times New Roman"/>
          <w:sz w:val="24"/>
          <w:szCs w:val="24"/>
        </w:rPr>
        <w:t>, dependencia, Estado del Bienestar.</w:t>
      </w:r>
    </w:p>
    <w:p w:rsidR="005C2047" w:rsidRDefault="005C2047">
      <w:pPr>
        <w:rPr>
          <w:rFonts w:ascii="Times New Roman" w:hAnsi="Times New Roman" w:cs="Times New Roman"/>
          <w:b/>
          <w:sz w:val="24"/>
          <w:szCs w:val="24"/>
        </w:rPr>
      </w:pPr>
    </w:p>
    <w:p w:rsidR="008F481E" w:rsidRPr="00D23C1E" w:rsidRDefault="00D23C1E" w:rsidP="00D23C1E">
      <w:pPr>
        <w:jc w:val="center"/>
        <w:rPr>
          <w:rFonts w:ascii="Times New Roman" w:hAnsi="Times New Roman" w:cs="Times New Roman"/>
          <w:b/>
          <w:szCs w:val="24"/>
          <w:lang w:val="en-US"/>
        </w:rPr>
      </w:pPr>
      <w:r w:rsidRPr="00D23C1E">
        <w:rPr>
          <w:rFonts w:ascii="Times New Roman" w:hAnsi="Times New Roman" w:cs="Times New Roman"/>
          <w:b/>
          <w:sz w:val="24"/>
          <w:szCs w:val="28"/>
          <w:lang w:val="en-US"/>
        </w:rPr>
        <w:t xml:space="preserve">POPULATION AGING IN THE MURCIA REGION: </w:t>
      </w:r>
      <w:r w:rsidR="006842CC">
        <w:rPr>
          <w:rFonts w:ascii="Times New Roman" w:hAnsi="Times New Roman" w:cs="Times New Roman"/>
          <w:b/>
          <w:sz w:val="24"/>
          <w:szCs w:val="28"/>
          <w:lang w:val="en-US"/>
        </w:rPr>
        <w:t>CAUSES AND CONSEQUENCES</w:t>
      </w:r>
    </w:p>
    <w:p w:rsidR="005C2047" w:rsidRPr="00D23C1E" w:rsidRDefault="005C2047">
      <w:pPr>
        <w:rPr>
          <w:rFonts w:ascii="Times New Roman" w:hAnsi="Times New Roman" w:cs="Times New Roman"/>
          <w:b/>
          <w:sz w:val="24"/>
          <w:szCs w:val="24"/>
          <w:lang w:val="en-US"/>
        </w:rPr>
      </w:pPr>
    </w:p>
    <w:p w:rsidR="005C2047" w:rsidRPr="00B01621" w:rsidRDefault="008C6891">
      <w:pPr>
        <w:rPr>
          <w:rFonts w:ascii="Times New Roman" w:hAnsi="Times New Roman" w:cs="Times New Roman"/>
          <w:b/>
          <w:sz w:val="24"/>
          <w:szCs w:val="24"/>
          <w:lang w:val="en-US"/>
        </w:rPr>
      </w:pPr>
      <w:r w:rsidRPr="00B01621">
        <w:rPr>
          <w:rFonts w:ascii="Times New Roman" w:hAnsi="Times New Roman" w:cs="Times New Roman"/>
          <w:b/>
          <w:sz w:val="24"/>
          <w:szCs w:val="24"/>
          <w:lang w:val="en-US"/>
        </w:rPr>
        <w:t>ABSTRACT</w:t>
      </w:r>
    </w:p>
    <w:p w:rsidR="005C2047" w:rsidRPr="00B01621" w:rsidRDefault="005C2047">
      <w:pPr>
        <w:rPr>
          <w:rFonts w:ascii="Times New Roman" w:hAnsi="Times New Roman" w:cs="Times New Roman"/>
          <w:b/>
          <w:sz w:val="24"/>
          <w:szCs w:val="24"/>
          <w:lang w:val="en-US"/>
        </w:rPr>
      </w:pPr>
    </w:p>
    <w:p w:rsidR="005C2047" w:rsidRDefault="00B4070A" w:rsidP="00B01621">
      <w:pPr>
        <w:spacing w:line="336" w:lineRule="auto"/>
        <w:ind w:firstLine="284"/>
        <w:jc w:val="both"/>
        <w:rPr>
          <w:rFonts w:ascii="Times New Roman" w:hAnsi="Times New Roman" w:cs="Times New Roman"/>
          <w:sz w:val="24"/>
          <w:szCs w:val="24"/>
          <w:lang w:val="en-US"/>
        </w:rPr>
      </w:pPr>
      <w:r w:rsidRPr="00B4070A">
        <w:rPr>
          <w:rFonts w:ascii="Times New Roman" w:hAnsi="Times New Roman" w:cs="Times New Roman"/>
          <w:sz w:val="24"/>
          <w:szCs w:val="24"/>
          <w:lang w:val="en-US"/>
        </w:rPr>
        <w:t>The significant gains in life expectancy achieved in recent years, along with reduced fertility rates, below replacement level, have led to a gradual aging of the Spanish population, which will manifest itself in a continuous decline in the population of working age and a continued increase in the proportion of population older than 65 years. Murcia Region, though has better demographic expectations than other Spanish regions, also experiencing an acute population ageing.</w:t>
      </w:r>
      <w:r w:rsidR="003E6211" w:rsidRPr="003E6211">
        <w:rPr>
          <w:lang w:val="en-US"/>
        </w:rPr>
        <w:t xml:space="preserve"> </w:t>
      </w:r>
      <w:r w:rsidR="003E6211">
        <w:rPr>
          <w:rFonts w:ascii="Times New Roman" w:hAnsi="Times New Roman" w:cs="Times New Roman"/>
          <w:sz w:val="24"/>
          <w:szCs w:val="24"/>
          <w:lang w:val="en-US"/>
        </w:rPr>
        <w:t>In t</w:t>
      </w:r>
      <w:r w:rsidR="003E6211" w:rsidRPr="003E6211">
        <w:rPr>
          <w:rFonts w:ascii="Times New Roman" w:hAnsi="Times New Roman" w:cs="Times New Roman"/>
          <w:sz w:val="24"/>
          <w:szCs w:val="24"/>
          <w:lang w:val="en-US"/>
        </w:rPr>
        <w:t>his way, if the current situation of dependence and economic recession there is not improved, the Welfare State can be compromised in its maintenance and its continuity will be more difficult with an aged demographic structure.</w:t>
      </w:r>
    </w:p>
    <w:p w:rsidR="003E6211" w:rsidRPr="00B4070A" w:rsidRDefault="003E6211" w:rsidP="003E6211">
      <w:pPr>
        <w:ind w:firstLine="284"/>
        <w:jc w:val="both"/>
        <w:rPr>
          <w:rFonts w:ascii="Times New Roman" w:hAnsi="Times New Roman" w:cs="Times New Roman"/>
          <w:b/>
          <w:sz w:val="24"/>
          <w:szCs w:val="24"/>
          <w:lang w:val="en-US"/>
        </w:rPr>
      </w:pPr>
    </w:p>
    <w:p w:rsidR="00FB6C87" w:rsidRDefault="005C2047" w:rsidP="00B4070A">
      <w:pPr>
        <w:rPr>
          <w:rFonts w:ascii="Times New Roman" w:hAnsi="Times New Roman" w:cs="Times New Roman"/>
          <w:bCs/>
          <w:sz w:val="24"/>
          <w:szCs w:val="24"/>
          <w:lang w:val="en-US"/>
        </w:rPr>
      </w:pPr>
      <w:r w:rsidRPr="00B4070A">
        <w:rPr>
          <w:rFonts w:ascii="Times New Roman" w:hAnsi="Times New Roman" w:cs="Times New Roman"/>
          <w:b/>
          <w:sz w:val="24"/>
          <w:szCs w:val="24"/>
          <w:lang w:val="en-US"/>
        </w:rPr>
        <w:t>Key words:</w:t>
      </w:r>
      <w:r w:rsidR="00B4070A" w:rsidRPr="00B4070A">
        <w:rPr>
          <w:rFonts w:ascii="Times New Roman" w:hAnsi="Times New Roman" w:cs="Times New Roman"/>
          <w:bCs/>
          <w:sz w:val="24"/>
          <w:szCs w:val="24"/>
          <w:lang w:val="en-US"/>
        </w:rPr>
        <w:t xml:space="preserve"> ageing, </w:t>
      </w:r>
      <w:r w:rsidR="00283AAF">
        <w:rPr>
          <w:rFonts w:ascii="Times New Roman" w:hAnsi="Times New Roman" w:cs="Times New Roman"/>
          <w:bCs/>
          <w:sz w:val="24"/>
          <w:szCs w:val="24"/>
          <w:lang w:val="en-US"/>
        </w:rPr>
        <w:t>Murcia Region</w:t>
      </w:r>
      <w:r w:rsidR="007618DF">
        <w:rPr>
          <w:rFonts w:ascii="Times New Roman" w:hAnsi="Times New Roman" w:cs="Times New Roman"/>
          <w:bCs/>
          <w:sz w:val="24"/>
          <w:szCs w:val="24"/>
          <w:lang w:val="en-US"/>
        </w:rPr>
        <w:t xml:space="preserve"> (Spain)</w:t>
      </w:r>
      <w:r w:rsidR="00283AAF">
        <w:rPr>
          <w:rFonts w:ascii="Times New Roman" w:hAnsi="Times New Roman" w:cs="Times New Roman"/>
          <w:bCs/>
          <w:sz w:val="24"/>
          <w:szCs w:val="24"/>
          <w:lang w:val="en-US"/>
        </w:rPr>
        <w:t>, dependency, Welfare State</w:t>
      </w:r>
      <w:r w:rsidR="00B4070A" w:rsidRPr="00B4070A">
        <w:rPr>
          <w:rFonts w:ascii="Times New Roman" w:hAnsi="Times New Roman" w:cs="Times New Roman"/>
          <w:bCs/>
          <w:sz w:val="24"/>
          <w:szCs w:val="24"/>
          <w:lang w:val="en-US"/>
        </w:rPr>
        <w:t>.</w:t>
      </w:r>
    </w:p>
    <w:p w:rsidR="00FB6C87" w:rsidRPr="00FB6C87" w:rsidRDefault="00FB6C87" w:rsidP="00B4070A">
      <w:pPr>
        <w:rPr>
          <w:rFonts w:ascii="Times New Roman" w:hAnsi="Times New Roman" w:cs="Times New Roman"/>
          <w:bCs/>
          <w:sz w:val="24"/>
          <w:szCs w:val="24"/>
          <w:lang w:val="en-US"/>
        </w:rPr>
      </w:pPr>
    </w:p>
    <w:p w:rsidR="00DA2EF5" w:rsidRDefault="00EA135C" w:rsidP="00FB6C87">
      <w:pPr>
        <w:pStyle w:val="Ttulo1"/>
        <w:spacing w:before="0" w:line="360" w:lineRule="auto"/>
        <w:jc w:val="both"/>
        <w:rPr>
          <w:rFonts w:ascii="Times New Roman" w:hAnsi="Times New Roman" w:cs="Times New Roman"/>
          <w:color w:val="auto"/>
          <w:sz w:val="24"/>
          <w:szCs w:val="24"/>
        </w:rPr>
      </w:pPr>
      <w:r>
        <w:rPr>
          <w:rFonts w:ascii="Times New Roman" w:hAnsi="Times New Roman" w:cs="Times New Roman"/>
          <w:color w:val="auto"/>
          <w:sz w:val="24"/>
          <w:szCs w:val="24"/>
        </w:rPr>
        <w:lastRenderedPageBreak/>
        <w:t>1. INTRODUCCIÓN</w:t>
      </w:r>
    </w:p>
    <w:p w:rsidR="00FB6C87" w:rsidRPr="00FB6C87" w:rsidRDefault="00FB6C87" w:rsidP="00FB6C87">
      <w:pPr>
        <w:spacing w:line="360" w:lineRule="auto"/>
        <w:jc w:val="both"/>
        <w:rPr>
          <w:rFonts w:ascii="Arial" w:hAnsi="Arial" w:cs="Arial"/>
          <w:lang w:eastAsia="es-ES"/>
        </w:rPr>
      </w:pPr>
    </w:p>
    <w:p w:rsidR="00D10179" w:rsidRPr="00DA2EF5" w:rsidRDefault="00DA2EF5" w:rsidP="00210056">
      <w:pPr>
        <w:spacing w:line="360" w:lineRule="auto"/>
        <w:ind w:firstLine="284"/>
        <w:jc w:val="both"/>
        <w:rPr>
          <w:rFonts w:ascii="Times New Roman" w:hAnsi="Times New Roman" w:cs="Times New Roman"/>
          <w:sz w:val="24"/>
          <w:szCs w:val="24"/>
        </w:rPr>
      </w:pPr>
      <w:r w:rsidRPr="00DA2EF5">
        <w:rPr>
          <w:rFonts w:ascii="Times New Roman" w:hAnsi="Times New Roman" w:cs="Times New Roman"/>
          <w:sz w:val="24"/>
          <w:szCs w:val="24"/>
        </w:rPr>
        <w:t>La reducción de la tasa de natalidad, junto con una tasa de mortalidad casi estancada en las últimas décadas, ha ocasionado en España una desaceleración significativa en el ritmo de crecimiento de la población</w:t>
      </w:r>
      <w:r>
        <w:rPr>
          <w:rFonts w:ascii="Times New Roman" w:hAnsi="Times New Roman" w:cs="Times New Roman"/>
          <w:sz w:val="24"/>
          <w:szCs w:val="24"/>
        </w:rPr>
        <w:t xml:space="preserve"> (</w:t>
      </w:r>
      <w:r w:rsidR="00077DD7" w:rsidRPr="005D62F7">
        <w:rPr>
          <w:rFonts w:ascii="Times New Roman" w:hAnsi="Times New Roman" w:cs="Times New Roman"/>
          <w:sz w:val="24"/>
          <w:szCs w:val="24"/>
        </w:rPr>
        <w:t>REQUES</w:t>
      </w:r>
      <w:r w:rsidR="00074964" w:rsidRPr="005D62F7">
        <w:rPr>
          <w:rFonts w:ascii="Times New Roman" w:hAnsi="Times New Roman" w:cs="Times New Roman"/>
          <w:sz w:val="24"/>
          <w:szCs w:val="24"/>
        </w:rPr>
        <w:t>, 2006</w:t>
      </w:r>
      <w:r>
        <w:rPr>
          <w:rFonts w:ascii="Times New Roman" w:hAnsi="Times New Roman" w:cs="Times New Roman"/>
          <w:sz w:val="24"/>
          <w:szCs w:val="24"/>
        </w:rPr>
        <w:t>).</w:t>
      </w:r>
      <w:r w:rsidRPr="00DA2EF5">
        <w:rPr>
          <w:rFonts w:ascii="Times New Roman" w:hAnsi="Times New Roman" w:cs="Times New Roman"/>
          <w:sz w:val="24"/>
          <w:szCs w:val="24"/>
        </w:rPr>
        <w:t xml:space="preserve"> </w:t>
      </w:r>
      <w:r>
        <w:rPr>
          <w:rFonts w:ascii="Times New Roman" w:hAnsi="Times New Roman" w:cs="Times New Roman"/>
          <w:sz w:val="24"/>
          <w:szCs w:val="24"/>
        </w:rPr>
        <w:t>R</w:t>
      </w:r>
      <w:r w:rsidRPr="00DA2EF5">
        <w:rPr>
          <w:rFonts w:ascii="Times New Roman" w:hAnsi="Times New Roman" w:cs="Times New Roman"/>
          <w:sz w:val="24"/>
          <w:szCs w:val="24"/>
        </w:rPr>
        <w:t>ecientemente</w:t>
      </w:r>
      <w:r>
        <w:rPr>
          <w:rFonts w:ascii="Times New Roman" w:hAnsi="Times New Roman" w:cs="Times New Roman"/>
          <w:sz w:val="24"/>
          <w:szCs w:val="24"/>
        </w:rPr>
        <w:t xml:space="preserve">, </w:t>
      </w:r>
      <w:r w:rsidR="00782AFC">
        <w:rPr>
          <w:rFonts w:ascii="Times New Roman" w:hAnsi="Times New Roman" w:cs="Times New Roman"/>
          <w:sz w:val="24"/>
          <w:szCs w:val="24"/>
        </w:rPr>
        <w:t>como</w:t>
      </w:r>
      <w:r>
        <w:rPr>
          <w:rFonts w:ascii="Times New Roman" w:hAnsi="Times New Roman" w:cs="Times New Roman"/>
          <w:sz w:val="24"/>
          <w:szCs w:val="24"/>
        </w:rPr>
        <w:t xml:space="preserve"> consecuencia del vigoroso proceso inmigratorio</w:t>
      </w:r>
      <w:r w:rsidR="00DC74B8">
        <w:rPr>
          <w:rFonts w:ascii="Times New Roman" w:hAnsi="Times New Roman" w:cs="Times New Roman"/>
          <w:sz w:val="24"/>
          <w:szCs w:val="24"/>
        </w:rPr>
        <w:t xml:space="preserve"> </w:t>
      </w:r>
      <w:r>
        <w:rPr>
          <w:rFonts w:ascii="Times New Roman" w:hAnsi="Times New Roman" w:cs="Times New Roman"/>
          <w:sz w:val="24"/>
          <w:szCs w:val="24"/>
        </w:rPr>
        <w:t>(</w:t>
      </w:r>
      <w:r w:rsidR="00077DD7" w:rsidRPr="005D62F7">
        <w:rPr>
          <w:rFonts w:ascii="Times New Roman" w:hAnsi="Times New Roman" w:cs="Times New Roman"/>
          <w:sz w:val="24"/>
          <w:szCs w:val="24"/>
        </w:rPr>
        <w:t>SERRANO MARTÍNEZ</w:t>
      </w:r>
      <w:r w:rsidR="00074964" w:rsidRPr="005D62F7">
        <w:rPr>
          <w:rFonts w:ascii="Times New Roman" w:hAnsi="Times New Roman" w:cs="Times New Roman"/>
          <w:sz w:val="24"/>
          <w:szCs w:val="24"/>
        </w:rPr>
        <w:t>, 1999</w:t>
      </w:r>
      <w:r w:rsidR="00782AFC">
        <w:rPr>
          <w:rFonts w:ascii="Times New Roman" w:hAnsi="Times New Roman" w:cs="Times New Roman"/>
          <w:sz w:val="24"/>
          <w:szCs w:val="24"/>
        </w:rPr>
        <w:t>;</w:t>
      </w:r>
      <w:r w:rsidR="00146DA3">
        <w:rPr>
          <w:rFonts w:ascii="Times New Roman" w:hAnsi="Times New Roman" w:cs="Times New Roman"/>
          <w:sz w:val="24"/>
          <w:szCs w:val="24"/>
        </w:rPr>
        <w:t xml:space="preserve"> </w:t>
      </w:r>
      <w:r w:rsidR="00077DD7" w:rsidRPr="0052294B">
        <w:rPr>
          <w:rFonts w:ascii="Times New Roman" w:hAnsi="Times New Roman" w:cs="Times New Roman"/>
          <w:sz w:val="24"/>
          <w:szCs w:val="24"/>
        </w:rPr>
        <w:t>GOZ</w:t>
      </w:r>
      <w:r w:rsidR="00782AFC">
        <w:rPr>
          <w:rFonts w:ascii="Times New Roman" w:hAnsi="Times New Roman" w:cs="Times New Roman"/>
          <w:sz w:val="24"/>
          <w:szCs w:val="24"/>
        </w:rPr>
        <w:t>Á</w:t>
      </w:r>
      <w:r w:rsidR="00077DD7" w:rsidRPr="0052294B">
        <w:rPr>
          <w:rFonts w:ascii="Times New Roman" w:hAnsi="Times New Roman" w:cs="Times New Roman"/>
          <w:sz w:val="24"/>
          <w:szCs w:val="24"/>
        </w:rPr>
        <w:t>LVEZ PÉREZ</w:t>
      </w:r>
      <w:r w:rsidR="00146DA3" w:rsidRPr="0052294B">
        <w:rPr>
          <w:rFonts w:ascii="Times New Roman" w:hAnsi="Times New Roman" w:cs="Times New Roman"/>
          <w:sz w:val="24"/>
          <w:szCs w:val="24"/>
        </w:rPr>
        <w:t>, 20</w:t>
      </w:r>
      <w:r w:rsidR="0052294B" w:rsidRPr="0052294B">
        <w:rPr>
          <w:rFonts w:ascii="Times New Roman" w:hAnsi="Times New Roman" w:cs="Times New Roman"/>
          <w:sz w:val="24"/>
          <w:szCs w:val="24"/>
        </w:rPr>
        <w:t>10</w:t>
      </w:r>
      <w:r w:rsidR="00DC74B8">
        <w:rPr>
          <w:rFonts w:ascii="Times New Roman" w:hAnsi="Times New Roman" w:cs="Times New Roman"/>
          <w:sz w:val="24"/>
          <w:szCs w:val="24"/>
        </w:rPr>
        <w:t>), la reducción poblacional</w:t>
      </w:r>
      <w:r>
        <w:rPr>
          <w:rFonts w:ascii="Times New Roman" w:hAnsi="Times New Roman" w:cs="Times New Roman"/>
          <w:sz w:val="24"/>
          <w:szCs w:val="24"/>
        </w:rPr>
        <w:t xml:space="preserve"> </w:t>
      </w:r>
      <w:r w:rsidRPr="00DA2EF5">
        <w:rPr>
          <w:rFonts w:ascii="Times New Roman" w:hAnsi="Times New Roman" w:cs="Times New Roman"/>
          <w:sz w:val="24"/>
          <w:szCs w:val="24"/>
        </w:rPr>
        <w:t>se ha visto paliada</w:t>
      </w:r>
      <w:r w:rsidR="00DC74B8">
        <w:rPr>
          <w:rFonts w:ascii="Times New Roman" w:hAnsi="Times New Roman" w:cs="Times New Roman"/>
          <w:sz w:val="24"/>
          <w:szCs w:val="24"/>
        </w:rPr>
        <w:t xml:space="preserve"> en numerosas </w:t>
      </w:r>
      <w:r w:rsidR="00782AFC">
        <w:rPr>
          <w:rFonts w:ascii="Times New Roman" w:hAnsi="Times New Roman" w:cs="Times New Roman"/>
          <w:sz w:val="24"/>
          <w:szCs w:val="24"/>
        </w:rPr>
        <w:t>c</w:t>
      </w:r>
      <w:r w:rsidR="00DC74B8">
        <w:rPr>
          <w:rFonts w:ascii="Times New Roman" w:hAnsi="Times New Roman" w:cs="Times New Roman"/>
          <w:sz w:val="24"/>
          <w:szCs w:val="24"/>
        </w:rPr>
        <w:t xml:space="preserve">omunidades </w:t>
      </w:r>
      <w:r w:rsidR="00782AFC">
        <w:rPr>
          <w:rFonts w:ascii="Times New Roman" w:hAnsi="Times New Roman" w:cs="Times New Roman"/>
          <w:sz w:val="24"/>
          <w:szCs w:val="24"/>
        </w:rPr>
        <w:t>a</w:t>
      </w:r>
      <w:r w:rsidR="00DC74B8">
        <w:rPr>
          <w:rFonts w:ascii="Times New Roman" w:hAnsi="Times New Roman" w:cs="Times New Roman"/>
          <w:sz w:val="24"/>
          <w:szCs w:val="24"/>
        </w:rPr>
        <w:t>utónomas</w:t>
      </w:r>
      <w:r w:rsidRPr="00DA2EF5">
        <w:rPr>
          <w:rFonts w:ascii="Times New Roman" w:hAnsi="Times New Roman" w:cs="Times New Roman"/>
          <w:sz w:val="24"/>
          <w:szCs w:val="24"/>
        </w:rPr>
        <w:t>. Asimismo</w:t>
      </w:r>
      <w:r w:rsidR="00DC74B8">
        <w:rPr>
          <w:rFonts w:ascii="Times New Roman" w:hAnsi="Times New Roman" w:cs="Times New Roman"/>
          <w:sz w:val="24"/>
          <w:szCs w:val="24"/>
        </w:rPr>
        <w:t>,</w:t>
      </w:r>
      <w:r w:rsidRPr="00DA2EF5">
        <w:rPr>
          <w:rFonts w:ascii="Times New Roman" w:hAnsi="Times New Roman" w:cs="Times New Roman"/>
          <w:sz w:val="24"/>
          <w:szCs w:val="24"/>
        </w:rPr>
        <w:t xml:space="preserve"> se ha producido un incremento significativo de la esperanza de vida al nacer. Estas variables han </w:t>
      </w:r>
      <w:r w:rsidRPr="008D15D8">
        <w:rPr>
          <w:rFonts w:ascii="Times New Roman" w:hAnsi="Times New Roman" w:cs="Times New Roman"/>
          <w:sz w:val="24"/>
          <w:szCs w:val="24"/>
        </w:rPr>
        <w:t>provocado una alteración de la estructura por edades de la población, ya que está aumentando la misma en edades más avanzadas y disminuyendo la población joven</w:t>
      </w:r>
      <w:r w:rsidR="00634CB2">
        <w:rPr>
          <w:rFonts w:ascii="Times New Roman" w:hAnsi="Times New Roman" w:cs="Times New Roman"/>
          <w:sz w:val="24"/>
          <w:szCs w:val="24"/>
        </w:rPr>
        <w:t xml:space="preserve"> </w:t>
      </w:r>
      <w:commentRangeStart w:id="1"/>
      <w:r w:rsidR="00634CB2">
        <w:rPr>
          <w:rFonts w:ascii="Times New Roman" w:hAnsi="Times New Roman" w:cs="Times New Roman"/>
          <w:sz w:val="24"/>
          <w:szCs w:val="24"/>
        </w:rPr>
        <w:t>(</w:t>
      </w:r>
      <w:r w:rsidR="00634CB2" w:rsidRPr="00634CB2">
        <w:rPr>
          <w:rFonts w:ascii="Times New Roman" w:hAnsi="Times New Roman" w:cs="Times New Roman"/>
          <w:sz w:val="24"/>
          <w:szCs w:val="24"/>
        </w:rPr>
        <w:t>EUROPEAN COMM</w:t>
      </w:r>
      <w:r w:rsidR="00634CB2">
        <w:rPr>
          <w:rFonts w:ascii="Times New Roman" w:hAnsi="Times New Roman" w:cs="Times New Roman"/>
          <w:sz w:val="24"/>
          <w:szCs w:val="24"/>
        </w:rPr>
        <w:t xml:space="preserve">ISSION, </w:t>
      </w:r>
      <w:r w:rsidR="00634CB2" w:rsidRPr="00634CB2">
        <w:rPr>
          <w:rFonts w:ascii="Times New Roman" w:hAnsi="Times New Roman" w:cs="Times New Roman"/>
          <w:sz w:val="24"/>
          <w:szCs w:val="24"/>
        </w:rPr>
        <w:t>2014)</w:t>
      </w:r>
      <w:r w:rsidRPr="008D15D8">
        <w:rPr>
          <w:rFonts w:ascii="Times New Roman" w:hAnsi="Times New Roman" w:cs="Times New Roman"/>
          <w:sz w:val="24"/>
          <w:szCs w:val="24"/>
        </w:rPr>
        <w:t xml:space="preserve">. </w:t>
      </w:r>
      <w:commentRangeEnd w:id="1"/>
      <w:r w:rsidR="00634CB2">
        <w:rPr>
          <w:rStyle w:val="Refdecomentario"/>
        </w:rPr>
        <w:commentReference w:id="1"/>
      </w:r>
    </w:p>
    <w:p w:rsidR="006A23A3" w:rsidRPr="00DA2EF5" w:rsidRDefault="006A23A3" w:rsidP="00210056">
      <w:pPr>
        <w:spacing w:line="360" w:lineRule="auto"/>
        <w:ind w:firstLine="284"/>
        <w:jc w:val="both"/>
        <w:rPr>
          <w:rFonts w:ascii="Times New Roman" w:hAnsi="Times New Roman" w:cs="Times New Roman"/>
          <w:sz w:val="24"/>
          <w:szCs w:val="24"/>
        </w:rPr>
      </w:pPr>
      <w:r w:rsidRPr="00DA2EF5">
        <w:rPr>
          <w:rFonts w:ascii="Times New Roman" w:hAnsi="Times New Roman" w:cs="Times New Roman"/>
          <w:sz w:val="24"/>
          <w:szCs w:val="24"/>
        </w:rPr>
        <w:t>El envejecimiento de la población es un proceso inevitable e irreversible en las sociedades demográficamente avanzadas. Es una consecuencia natural de la transición demográfica, que alude al paso de un régimen demográfico de alta mortalidad y alta natalidad a otro de baja mortalidad y baja natalidad. El descenso de la mortalidad y de la fecundidad conlleva necesariamente un aumento progresivo del segmento de población mayor con respecto al segmento de población joven (</w:t>
      </w:r>
      <w:r w:rsidR="00077DD7" w:rsidRPr="00DA2EF5">
        <w:rPr>
          <w:rFonts w:ascii="Times New Roman" w:hAnsi="Times New Roman" w:cs="Times New Roman"/>
          <w:sz w:val="24"/>
          <w:szCs w:val="24"/>
        </w:rPr>
        <w:t>CASTRO MARTÍN</w:t>
      </w:r>
      <w:r w:rsidRPr="00DA2EF5">
        <w:rPr>
          <w:rFonts w:ascii="Times New Roman" w:hAnsi="Times New Roman" w:cs="Times New Roman"/>
          <w:sz w:val="24"/>
          <w:szCs w:val="24"/>
        </w:rPr>
        <w:t>, 2010).</w:t>
      </w:r>
    </w:p>
    <w:p w:rsidR="0003173A" w:rsidRDefault="006A23A3" w:rsidP="00210056">
      <w:pPr>
        <w:spacing w:line="360" w:lineRule="auto"/>
        <w:ind w:firstLine="284"/>
        <w:jc w:val="both"/>
        <w:rPr>
          <w:rFonts w:ascii="Times New Roman" w:hAnsi="Times New Roman" w:cs="Times New Roman"/>
          <w:sz w:val="24"/>
          <w:szCs w:val="24"/>
        </w:rPr>
      </w:pPr>
      <w:r>
        <w:rPr>
          <w:rFonts w:ascii="Times New Roman" w:hAnsi="Times New Roman" w:cs="Times New Roman"/>
          <w:sz w:val="24"/>
          <w:szCs w:val="24"/>
        </w:rPr>
        <w:t>Dicho envejecimiento</w:t>
      </w:r>
      <w:r w:rsidR="00DA2EF5" w:rsidRPr="00DA2EF5">
        <w:rPr>
          <w:rFonts w:ascii="Times New Roman" w:hAnsi="Times New Roman" w:cs="Times New Roman"/>
          <w:sz w:val="24"/>
          <w:szCs w:val="24"/>
        </w:rPr>
        <w:t xml:space="preserve"> se entiende como un incremento sustancial y permanente del número de personas mayores de 64 años en relación con el resto de la población (</w:t>
      </w:r>
      <w:r w:rsidR="00077DD7" w:rsidRPr="00DA2EF5">
        <w:rPr>
          <w:rFonts w:ascii="Times New Roman" w:hAnsi="Times New Roman" w:cs="Times New Roman"/>
          <w:sz w:val="24"/>
          <w:szCs w:val="24"/>
        </w:rPr>
        <w:t>PELÁEZ HERREROS</w:t>
      </w:r>
      <w:r w:rsidR="00DA2EF5" w:rsidRPr="00DA2EF5">
        <w:rPr>
          <w:rFonts w:ascii="Times New Roman" w:hAnsi="Times New Roman" w:cs="Times New Roman"/>
          <w:sz w:val="24"/>
          <w:szCs w:val="24"/>
        </w:rPr>
        <w:t>, 2008), de modo que se modifica la estructura por edades de ésta (</w:t>
      </w:r>
      <w:r w:rsidR="00077DD7" w:rsidRPr="00DA2EF5">
        <w:rPr>
          <w:rFonts w:ascii="Times New Roman" w:hAnsi="Times New Roman" w:cs="Times New Roman"/>
          <w:sz w:val="24"/>
          <w:szCs w:val="24"/>
        </w:rPr>
        <w:t>GÓMEZ FAYRÉN</w:t>
      </w:r>
      <w:r w:rsidR="00DA2EF5" w:rsidRPr="00DA2EF5">
        <w:rPr>
          <w:rFonts w:ascii="Times New Roman" w:hAnsi="Times New Roman" w:cs="Times New Roman"/>
          <w:sz w:val="24"/>
          <w:szCs w:val="24"/>
        </w:rPr>
        <w:t xml:space="preserve"> </w:t>
      </w:r>
      <w:r w:rsidR="00DA2EF5" w:rsidRPr="00DA2EF5">
        <w:rPr>
          <w:rFonts w:ascii="Times New Roman" w:hAnsi="Times New Roman" w:cs="Times New Roman"/>
          <w:i/>
          <w:sz w:val="24"/>
          <w:szCs w:val="24"/>
        </w:rPr>
        <w:t>et al</w:t>
      </w:r>
      <w:r w:rsidR="00DA2EF5" w:rsidRPr="00DA2EF5">
        <w:rPr>
          <w:rFonts w:ascii="Times New Roman" w:hAnsi="Times New Roman" w:cs="Times New Roman"/>
          <w:sz w:val="24"/>
          <w:szCs w:val="24"/>
        </w:rPr>
        <w:t xml:space="preserve">., 1994). Esta alteración se traduce en un descenso </w:t>
      </w:r>
      <w:r w:rsidR="00DA2EF5" w:rsidRPr="00DA2EF5">
        <w:rPr>
          <w:rFonts w:ascii="Times New Roman" w:hAnsi="Times New Roman" w:cs="Times New Roman"/>
          <w:bCs/>
          <w:sz w:val="24"/>
          <w:szCs w:val="24"/>
        </w:rPr>
        <w:t>del porcentaje de la población en edad de trabajar o cotizantes y en un aumento de la población de más de 65 años o jubilados, lo que supone un incremento de la tasa de dependencia</w:t>
      </w:r>
      <w:r w:rsidR="00DA2EF5" w:rsidRPr="00DA2EF5">
        <w:rPr>
          <w:rFonts w:ascii="Times New Roman" w:hAnsi="Times New Roman" w:cs="Times New Roman"/>
          <w:sz w:val="24"/>
          <w:szCs w:val="24"/>
        </w:rPr>
        <w:t xml:space="preserve"> (</w:t>
      </w:r>
      <w:r w:rsidR="00077DD7" w:rsidRPr="00DA2EF5">
        <w:rPr>
          <w:rFonts w:ascii="Times New Roman" w:hAnsi="Times New Roman" w:cs="Times New Roman"/>
          <w:sz w:val="24"/>
          <w:szCs w:val="24"/>
        </w:rPr>
        <w:t xml:space="preserve">HERNÁNDEZ DE COS </w:t>
      </w:r>
      <w:r w:rsidR="000C0A0E">
        <w:rPr>
          <w:rFonts w:ascii="Times New Roman" w:hAnsi="Times New Roman" w:cs="Times New Roman"/>
          <w:sz w:val="24"/>
          <w:szCs w:val="24"/>
        </w:rPr>
        <w:t>y</w:t>
      </w:r>
      <w:r w:rsidR="00077DD7" w:rsidRPr="00DA2EF5">
        <w:rPr>
          <w:rFonts w:ascii="Times New Roman" w:hAnsi="Times New Roman" w:cs="Times New Roman"/>
          <w:sz w:val="24"/>
          <w:szCs w:val="24"/>
        </w:rPr>
        <w:t xml:space="preserve"> ORTEGA REGATO</w:t>
      </w:r>
      <w:r w:rsidR="00DA2EF5" w:rsidRPr="00DA2EF5">
        <w:rPr>
          <w:rFonts w:ascii="Times New Roman" w:hAnsi="Times New Roman" w:cs="Times New Roman"/>
          <w:sz w:val="24"/>
          <w:szCs w:val="24"/>
        </w:rPr>
        <w:t xml:space="preserve">, 2002; </w:t>
      </w:r>
      <w:r w:rsidR="00077DD7" w:rsidRPr="00DA2EF5">
        <w:rPr>
          <w:rFonts w:ascii="Times New Roman" w:hAnsi="Times New Roman" w:cs="Times New Roman"/>
          <w:sz w:val="24"/>
          <w:szCs w:val="24"/>
        </w:rPr>
        <w:t xml:space="preserve">ALONSO MESEGUER </w:t>
      </w:r>
      <w:r w:rsidR="000C0A0E">
        <w:rPr>
          <w:rFonts w:ascii="Times New Roman" w:hAnsi="Times New Roman" w:cs="Times New Roman"/>
          <w:sz w:val="24"/>
          <w:szCs w:val="24"/>
        </w:rPr>
        <w:t>y</w:t>
      </w:r>
      <w:r w:rsidR="00077DD7" w:rsidRPr="00DA2EF5">
        <w:rPr>
          <w:rFonts w:ascii="Times New Roman" w:hAnsi="Times New Roman" w:cs="Times New Roman"/>
          <w:sz w:val="24"/>
          <w:szCs w:val="24"/>
        </w:rPr>
        <w:t xml:space="preserve"> CONDE-RUIZ</w:t>
      </w:r>
      <w:r w:rsidR="00DA2EF5" w:rsidRPr="00DA2EF5">
        <w:rPr>
          <w:rFonts w:ascii="Times New Roman" w:hAnsi="Times New Roman" w:cs="Times New Roman"/>
          <w:sz w:val="24"/>
          <w:szCs w:val="24"/>
        </w:rPr>
        <w:t xml:space="preserve">, 2007). </w:t>
      </w:r>
      <w:r w:rsidR="00782AFC">
        <w:rPr>
          <w:rFonts w:ascii="Times New Roman" w:hAnsi="Times New Roman" w:cs="Times New Roman"/>
          <w:sz w:val="24"/>
          <w:szCs w:val="24"/>
        </w:rPr>
        <w:t>Esto</w:t>
      </w:r>
      <w:r w:rsidR="00DA2EF5" w:rsidRPr="00DA2EF5">
        <w:rPr>
          <w:rFonts w:ascii="Times New Roman" w:hAnsi="Times New Roman" w:cs="Times New Roman"/>
          <w:sz w:val="24"/>
          <w:szCs w:val="24"/>
        </w:rPr>
        <w:t xml:space="preserve"> conlleva </w:t>
      </w:r>
      <w:r w:rsidR="00DA2EF5" w:rsidRPr="00DA2EF5">
        <w:rPr>
          <w:rFonts w:ascii="Times New Roman" w:hAnsi="Times New Roman" w:cs="Times New Roman"/>
          <w:bCs/>
          <w:sz w:val="24"/>
          <w:szCs w:val="24"/>
        </w:rPr>
        <w:t>una importante presión sobre la sostenibilidad de los sistemas de pensiones de reparto</w:t>
      </w:r>
      <w:r w:rsidR="00DA2EF5" w:rsidRPr="00DA2EF5">
        <w:rPr>
          <w:rFonts w:ascii="Times New Roman" w:hAnsi="Times New Roman" w:cs="Times New Roman"/>
          <w:sz w:val="24"/>
          <w:szCs w:val="24"/>
        </w:rPr>
        <w:t xml:space="preserve"> (</w:t>
      </w:r>
      <w:r w:rsidR="00077DD7" w:rsidRPr="00DA2EF5">
        <w:rPr>
          <w:rFonts w:ascii="Times New Roman" w:hAnsi="Times New Roman" w:cs="Times New Roman"/>
          <w:sz w:val="24"/>
          <w:szCs w:val="24"/>
        </w:rPr>
        <w:t>CAIXA CATALUNYA</w:t>
      </w:r>
      <w:r w:rsidR="00FF0C98">
        <w:rPr>
          <w:rFonts w:ascii="Times New Roman" w:hAnsi="Times New Roman" w:cs="Times New Roman"/>
          <w:sz w:val="24"/>
          <w:szCs w:val="24"/>
        </w:rPr>
        <w:t xml:space="preserve">, 2009), </w:t>
      </w:r>
      <w:commentRangeStart w:id="2"/>
      <w:r w:rsidR="00FF0C98">
        <w:rPr>
          <w:rFonts w:ascii="Times New Roman" w:hAnsi="Times New Roman" w:cs="Times New Roman"/>
          <w:sz w:val="24"/>
          <w:szCs w:val="24"/>
        </w:rPr>
        <w:t xml:space="preserve">más aún </w:t>
      </w:r>
      <w:r w:rsidR="00F14829">
        <w:rPr>
          <w:rFonts w:ascii="Times New Roman" w:hAnsi="Times New Roman" w:cs="Times New Roman"/>
          <w:sz w:val="24"/>
          <w:szCs w:val="24"/>
        </w:rPr>
        <w:t xml:space="preserve">si se tiene en cuenta la elevada tasa de paro que presenta la Región de Murcia, la cual se </w:t>
      </w:r>
      <w:r w:rsidR="0003173A">
        <w:rPr>
          <w:rFonts w:ascii="Times New Roman" w:hAnsi="Times New Roman" w:cs="Times New Roman"/>
          <w:sz w:val="24"/>
          <w:szCs w:val="24"/>
        </w:rPr>
        <w:t xml:space="preserve">sitúa en séptimo lugar entre las </w:t>
      </w:r>
      <w:r w:rsidR="00782AFC">
        <w:rPr>
          <w:rFonts w:ascii="Times New Roman" w:hAnsi="Times New Roman" w:cs="Times New Roman"/>
          <w:sz w:val="24"/>
          <w:szCs w:val="24"/>
        </w:rPr>
        <w:t>comunidades autónomas</w:t>
      </w:r>
      <w:r w:rsidR="0003173A">
        <w:rPr>
          <w:rFonts w:ascii="Times New Roman" w:hAnsi="Times New Roman" w:cs="Times New Roman"/>
          <w:sz w:val="24"/>
          <w:szCs w:val="24"/>
        </w:rPr>
        <w:t xml:space="preserve"> españolas</w:t>
      </w:r>
      <w:r w:rsidR="00F1549F">
        <w:rPr>
          <w:rFonts w:ascii="Times New Roman" w:hAnsi="Times New Roman" w:cs="Times New Roman"/>
          <w:sz w:val="24"/>
          <w:szCs w:val="24"/>
        </w:rPr>
        <w:t xml:space="preserve"> para el año 2014</w:t>
      </w:r>
      <w:r w:rsidR="0003173A">
        <w:rPr>
          <w:rFonts w:ascii="Times New Roman" w:hAnsi="Times New Roman" w:cs="Times New Roman"/>
          <w:sz w:val="24"/>
          <w:szCs w:val="24"/>
        </w:rPr>
        <w:t>, con un 27,26%</w:t>
      </w:r>
      <w:r w:rsidR="00EB7359">
        <w:rPr>
          <w:rFonts w:ascii="Times New Roman" w:hAnsi="Times New Roman" w:cs="Times New Roman"/>
          <w:sz w:val="24"/>
          <w:szCs w:val="24"/>
        </w:rPr>
        <w:t xml:space="preserve"> (INE)</w:t>
      </w:r>
      <w:r w:rsidR="00F1549F">
        <w:rPr>
          <w:rFonts w:ascii="Times New Roman" w:hAnsi="Times New Roman" w:cs="Times New Roman"/>
          <w:sz w:val="24"/>
          <w:szCs w:val="24"/>
        </w:rPr>
        <w:t xml:space="preserve">. </w:t>
      </w:r>
      <w:r w:rsidR="00F14829">
        <w:rPr>
          <w:rFonts w:ascii="Times New Roman" w:hAnsi="Times New Roman" w:cs="Times New Roman"/>
          <w:sz w:val="24"/>
          <w:szCs w:val="24"/>
        </w:rPr>
        <w:t>Esta c</w:t>
      </w:r>
      <w:r w:rsidR="00F1549F">
        <w:rPr>
          <w:rFonts w:ascii="Times New Roman" w:hAnsi="Times New Roman" w:cs="Times New Roman"/>
          <w:sz w:val="24"/>
          <w:szCs w:val="24"/>
        </w:rPr>
        <w:t xml:space="preserve">ifra </w:t>
      </w:r>
      <w:r w:rsidR="00F14829">
        <w:rPr>
          <w:rFonts w:ascii="Times New Roman" w:hAnsi="Times New Roman" w:cs="Times New Roman"/>
          <w:sz w:val="24"/>
          <w:szCs w:val="24"/>
        </w:rPr>
        <w:t xml:space="preserve">es </w:t>
      </w:r>
      <w:r w:rsidR="00F1549F">
        <w:rPr>
          <w:rFonts w:ascii="Times New Roman" w:hAnsi="Times New Roman" w:cs="Times New Roman"/>
          <w:sz w:val="24"/>
          <w:szCs w:val="24"/>
        </w:rPr>
        <w:t xml:space="preserve">variable entre la población, ya que </w:t>
      </w:r>
      <w:r w:rsidR="00F350CE">
        <w:rPr>
          <w:rFonts w:ascii="Times New Roman" w:hAnsi="Times New Roman" w:cs="Times New Roman"/>
          <w:sz w:val="24"/>
          <w:szCs w:val="24"/>
        </w:rPr>
        <w:t>el paro</w:t>
      </w:r>
      <w:r w:rsidR="00F1549F">
        <w:rPr>
          <w:rFonts w:ascii="Times New Roman" w:hAnsi="Times New Roman" w:cs="Times New Roman"/>
          <w:sz w:val="24"/>
          <w:szCs w:val="24"/>
        </w:rPr>
        <w:t xml:space="preserve"> se acentúa más en la población joven</w:t>
      </w:r>
      <w:r w:rsidR="00E8089F">
        <w:rPr>
          <w:rFonts w:ascii="Times New Roman" w:hAnsi="Times New Roman" w:cs="Times New Roman"/>
          <w:sz w:val="24"/>
          <w:szCs w:val="24"/>
        </w:rPr>
        <w:t xml:space="preserve"> menor de 25 años (58,42%) que en la adulta mayor de 25 años</w:t>
      </w:r>
      <w:r w:rsidR="00EB7359">
        <w:rPr>
          <w:rFonts w:ascii="Times New Roman" w:hAnsi="Times New Roman" w:cs="Times New Roman"/>
          <w:sz w:val="24"/>
          <w:szCs w:val="24"/>
        </w:rPr>
        <w:t xml:space="preserve"> </w:t>
      </w:r>
      <w:r w:rsidR="00E8089F">
        <w:rPr>
          <w:rFonts w:ascii="Times New Roman" w:hAnsi="Times New Roman" w:cs="Times New Roman"/>
          <w:sz w:val="24"/>
          <w:szCs w:val="24"/>
        </w:rPr>
        <w:t>(24,59%).</w:t>
      </w:r>
      <w:r w:rsidR="00F14829">
        <w:rPr>
          <w:rFonts w:ascii="Times New Roman" w:hAnsi="Times New Roman" w:cs="Times New Roman"/>
          <w:sz w:val="24"/>
          <w:szCs w:val="24"/>
        </w:rPr>
        <w:t xml:space="preserve"> </w:t>
      </w:r>
      <w:r w:rsidR="00782AFC">
        <w:rPr>
          <w:rFonts w:ascii="Times New Roman" w:hAnsi="Times New Roman" w:cs="Times New Roman"/>
          <w:sz w:val="24"/>
          <w:szCs w:val="24"/>
        </w:rPr>
        <w:t>Ello</w:t>
      </w:r>
      <w:r w:rsidR="00F14829">
        <w:rPr>
          <w:rFonts w:ascii="Times New Roman" w:hAnsi="Times New Roman" w:cs="Times New Roman"/>
          <w:sz w:val="24"/>
          <w:szCs w:val="24"/>
        </w:rPr>
        <w:t xml:space="preserve"> altera en parte la fecundidad de los jóvenes al tener menos oportunidades de empleo y emancipación.</w:t>
      </w:r>
      <w:commentRangeEnd w:id="2"/>
      <w:r w:rsidR="002C0D24">
        <w:rPr>
          <w:rStyle w:val="Refdecomentario"/>
        </w:rPr>
        <w:commentReference w:id="2"/>
      </w:r>
    </w:p>
    <w:p w:rsidR="00DA2EF5" w:rsidRPr="00DA2EF5" w:rsidRDefault="00DA2EF5" w:rsidP="00210056">
      <w:pPr>
        <w:spacing w:line="360" w:lineRule="auto"/>
        <w:ind w:firstLine="284"/>
        <w:jc w:val="both"/>
        <w:rPr>
          <w:rFonts w:ascii="Times New Roman" w:hAnsi="Times New Roman" w:cs="Times New Roman"/>
          <w:sz w:val="24"/>
          <w:szCs w:val="24"/>
        </w:rPr>
      </w:pPr>
      <w:r w:rsidRPr="00DA2EF5">
        <w:rPr>
          <w:rFonts w:ascii="Times New Roman" w:hAnsi="Times New Roman" w:cs="Times New Roman"/>
          <w:sz w:val="24"/>
          <w:szCs w:val="24"/>
        </w:rPr>
        <w:t xml:space="preserve">Por otro lado, la natalidad y fecundidad se han visto paliadas en cierta medida por la llegada </w:t>
      </w:r>
      <w:r w:rsidR="00423289" w:rsidRPr="00DA2EF5">
        <w:rPr>
          <w:rFonts w:ascii="Times New Roman" w:hAnsi="Times New Roman" w:cs="Times New Roman"/>
          <w:sz w:val="24"/>
          <w:szCs w:val="24"/>
        </w:rPr>
        <w:t xml:space="preserve">masiva </w:t>
      </w:r>
      <w:r w:rsidRPr="00DA2EF5">
        <w:rPr>
          <w:rFonts w:ascii="Times New Roman" w:hAnsi="Times New Roman" w:cs="Times New Roman"/>
          <w:sz w:val="24"/>
          <w:szCs w:val="24"/>
        </w:rPr>
        <w:t xml:space="preserve">de inmigrantes extranjeros, lo que ha ayudado a detener el proceso de </w:t>
      </w:r>
      <w:r w:rsidRPr="00DA2EF5">
        <w:rPr>
          <w:rFonts w:ascii="Times New Roman" w:hAnsi="Times New Roman" w:cs="Times New Roman"/>
          <w:sz w:val="24"/>
          <w:szCs w:val="24"/>
        </w:rPr>
        <w:lastRenderedPageBreak/>
        <w:t>envejecimiento global de la población (</w:t>
      </w:r>
      <w:r w:rsidR="00077DD7" w:rsidRPr="00DA2EF5">
        <w:rPr>
          <w:rFonts w:ascii="Times New Roman" w:hAnsi="Times New Roman" w:cs="Times New Roman"/>
          <w:sz w:val="24"/>
          <w:szCs w:val="24"/>
        </w:rPr>
        <w:t xml:space="preserve">SERRANO MARTÍNEZ </w:t>
      </w:r>
      <w:r w:rsidR="000C0A0E">
        <w:rPr>
          <w:rFonts w:ascii="Times New Roman" w:hAnsi="Times New Roman" w:cs="Times New Roman"/>
          <w:sz w:val="24"/>
          <w:szCs w:val="24"/>
        </w:rPr>
        <w:t>y</w:t>
      </w:r>
      <w:r w:rsidR="00077DD7" w:rsidRPr="00DA2EF5">
        <w:rPr>
          <w:rFonts w:ascii="Times New Roman" w:hAnsi="Times New Roman" w:cs="Times New Roman"/>
          <w:sz w:val="24"/>
          <w:szCs w:val="24"/>
        </w:rPr>
        <w:t xml:space="preserve"> GARCÍA MARÍN</w:t>
      </w:r>
      <w:r w:rsidRPr="00DA2EF5">
        <w:rPr>
          <w:rFonts w:ascii="Times New Roman" w:hAnsi="Times New Roman" w:cs="Times New Roman"/>
          <w:sz w:val="24"/>
          <w:szCs w:val="24"/>
        </w:rPr>
        <w:t>, 2011) y a atenuar desequilibrios en el mercado de trabajo (</w:t>
      </w:r>
      <w:r w:rsidR="00077DD7" w:rsidRPr="00DA2EF5">
        <w:rPr>
          <w:rFonts w:ascii="Times New Roman" w:hAnsi="Times New Roman" w:cs="Times New Roman"/>
          <w:sz w:val="24"/>
          <w:szCs w:val="24"/>
        </w:rPr>
        <w:t>CASTRO MARTÍN</w:t>
      </w:r>
      <w:r w:rsidRPr="00DA2EF5">
        <w:rPr>
          <w:rFonts w:ascii="Times New Roman" w:hAnsi="Times New Roman" w:cs="Times New Roman"/>
          <w:sz w:val="24"/>
          <w:szCs w:val="24"/>
        </w:rPr>
        <w:t>, 2010).</w:t>
      </w:r>
    </w:p>
    <w:p w:rsidR="00DA2EF5" w:rsidRPr="00DA2EF5" w:rsidRDefault="00DA2EF5" w:rsidP="00210056">
      <w:pPr>
        <w:spacing w:line="360" w:lineRule="auto"/>
        <w:ind w:firstLine="284"/>
        <w:jc w:val="both"/>
        <w:rPr>
          <w:rFonts w:ascii="Times New Roman" w:hAnsi="Times New Roman" w:cs="Times New Roman"/>
          <w:sz w:val="24"/>
          <w:szCs w:val="24"/>
        </w:rPr>
      </w:pPr>
      <w:r w:rsidRPr="00DA2EF5">
        <w:rPr>
          <w:rFonts w:ascii="Times New Roman" w:hAnsi="Times New Roman" w:cs="Times New Roman"/>
          <w:sz w:val="24"/>
          <w:szCs w:val="24"/>
        </w:rPr>
        <w:t xml:space="preserve">Sin embargo, </w:t>
      </w:r>
      <w:r w:rsidR="00DC74B8">
        <w:rPr>
          <w:rFonts w:ascii="Times New Roman" w:hAnsi="Times New Roman" w:cs="Times New Roman"/>
          <w:sz w:val="24"/>
          <w:szCs w:val="24"/>
        </w:rPr>
        <w:t>l</w:t>
      </w:r>
      <w:r w:rsidRPr="00DA2EF5">
        <w:rPr>
          <w:rFonts w:ascii="Times New Roman" w:hAnsi="Times New Roman" w:cs="Times New Roman"/>
          <w:sz w:val="24"/>
          <w:szCs w:val="24"/>
        </w:rPr>
        <w:t xml:space="preserve">os efectos de la crisis </w:t>
      </w:r>
      <w:r w:rsidR="00DC74B8">
        <w:rPr>
          <w:rFonts w:ascii="Times New Roman" w:hAnsi="Times New Roman" w:cs="Times New Roman"/>
          <w:sz w:val="24"/>
          <w:szCs w:val="24"/>
        </w:rPr>
        <w:t xml:space="preserve">económica y financiera </w:t>
      </w:r>
      <w:r w:rsidRPr="00DA2EF5">
        <w:rPr>
          <w:rFonts w:ascii="Times New Roman" w:hAnsi="Times New Roman" w:cs="Times New Roman"/>
          <w:sz w:val="24"/>
          <w:szCs w:val="24"/>
        </w:rPr>
        <w:t>sobre la inmigración se manifestaron a partir de finales del año 2008 con el aumento del desempleo (</w:t>
      </w:r>
      <w:r w:rsidR="00077DD7" w:rsidRPr="00DA2EF5">
        <w:rPr>
          <w:rFonts w:ascii="Times New Roman" w:hAnsi="Times New Roman" w:cs="Times New Roman"/>
          <w:sz w:val="24"/>
          <w:szCs w:val="24"/>
        </w:rPr>
        <w:t>ALBA MONTESERÍN</w:t>
      </w:r>
      <w:r w:rsidRPr="00DA2EF5">
        <w:rPr>
          <w:rFonts w:ascii="Times New Roman" w:hAnsi="Times New Roman" w:cs="Times New Roman"/>
          <w:sz w:val="24"/>
          <w:szCs w:val="24"/>
        </w:rPr>
        <w:t xml:space="preserve"> </w:t>
      </w:r>
      <w:r w:rsidRPr="00DA2EF5">
        <w:rPr>
          <w:rFonts w:ascii="Times New Roman" w:hAnsi="Times New Roman" w:cs="Times New Roman"/>
          <w:i/>
          <w:sz w:val="24"/>
          <w:szCs w:val="24"/>
        </w:rPr>
        <w:t>et al</w:t>
      </w:r>
      <w:r w:rsidRPr="00DA2EF5">
        <w:rPr>
          <w:rFonts w:ascii="Times New Roman" w:hAnsi="Times New Roman" w:cs="Times New Roman"/>
          <w:sz w:val="24"/>
          <w:szCs w:val="24"/>
        </w:rPr>
        <w:t xml:space="preserve">., 2013), lo que </w:t>
      </w:r>
      <w:r w:rsidR="00F66A0F">
        <w:rPr>
          <w:rFonts w:ascii="Times New Roman" w:hAnsi="Times New Roman" w:cs="Times New Roman"/>
          <w:sz w:val="24"/>
          <w:szCs w:val="24"/>
        </w:rPr>
        <w:t>ocasiona</w:t>
      </w:r>
      <w:r w:rsidRPr="00DA2EF5">
        <w:rPr>
          <w:rFonts w:ascii="Times New Roman" w:hAnsi="Times New Roman" w:cs="Times New Roman"/>
          <w:sz w:val="24"/>
          <w:szCs w:val="24"/>
        </w:rPr>
        <w:t xml:space="preserve"> un cambio de tendencia</w:t>
      </w:r>
      <w:r w:rsidR="00DC74B8">
        <w:rPr>
          <w:rFonts w:ascii="Times New Roman" w:hAnsi="Times New Roman" w:cs="Times New Roman"/>
          <w:sz w:val="24"/>
          <w:szCs w:val="24"/>
        </w:rPr>
        <w:t>,</w:t>
      </w:r>
      <w:r w:rsidRPr="00DA2EF5">
        <w:rPr>
          <w:rFonts w:ascii="Times New Roman" w:hAnsi="Times New Roman" w:cs="Times New Roman"/>
          <w:sz w:val="24"/>
          <w:szCs w:val="24"/>
        </w:rPr>
        <w:t xml:space="preserve"> </w:t>
      </w:r>
      <w:r w:rsidR="00DC74B8">
        <w:rPr>
          <w:rFonts w:ascii="Times New Roman" w:hAnsi="Times New Roman" w:cs="Times New Roman"/>
          <w:sz w:val="24"/>
          <w:szCs w:val="24"/>
        </w:rPr>
        <w:t>pudiéndose aventurar el</w:t>
      </w:r>
      <w:r w:rsidRPr="00DA2EF5">
        <w:rPr>
          <w:rFonts w:ascii="Times New Roman" w:hAnsi="Times New Roman" w:cs="Times New Roman"/>
          <w:sz w:val="24"/>
          <w:szCs w:val="24"/>
        </w:rPr>
        <w:t xml:space="preserve"> fi</w:t>
      </w:r>
      <w:r w:rsidR="00DC74B8">
        <w:rPr>
          <w:rFonts w:ascii="Times New Roman" w:hAnsi="Times New Roman" w:cs="Times New Roman"/>
          <w:sz w:val="24"/>
          <w:szCs w:val="24"/>
        </w:rPr>
        <w:t>nal de un ciclo demográfico y</w:t>
      </w:r>
      <w:r w:rsidRPr="00DA2EF5">
        <w:rPr>
          <w:rFonts w:ascii="Times New Roman" w:hAnsi="Times New Roman" w:cs="Times New Roman"/>
          <w:sz w:val="24"/>
          <w:szCs w:val="24"/>
        </w:rPr>
        <w:t xml:space="preserve"> el inicio de otro, opuesto al anterior.</w:t>
      </w:r>
    </w:p>
    <w:p w:rsidR="00D865FD" w:rsidRDefault="00DA2EF5" w:rsidP="002B04AF">
      <w:pPr>
        <w:spacing w:line="360" w:lineRule="auto"/>
        <w:ind w:firstLine="284"/>
        <w:jc w:val="both"/>
        <w:rPr>
          <w:rFonts w:ascii="Times New Roman" w:hAnsi="Times New Roman" w:cs="Times New Roman"/>
          <w:sz w:val="24"/>
          <w:szCs w:val="24"/>
        </w:rPr>
      </w:pPr>
      <w:r w:rsidRPr="00DA2EF5">
        <w:rPr>
          <w:rFonts w:ascii="Times New Roman" w:hAnsi="Times New Roman" w:cs="Times New Roman"/>
          <w:sz w:val="24"/>
          <w:szCs w:val="24"/>
        </w:rPr>
        <w:t xml:space="preserve">Si en las próximas décadas las tendencias de fecundidad y esperanza de vida se mantienen y </w:t>
      </w:r>
      <w:r w:rsidRPr="00782AFC">
        <w:rPr>
          <w:rFonts w:ascii="Times New Roman" w:hAnsi="Times New Roman" w:cs="Times New Roman"/>
          <w:sz w:val="24"/>
          <w:szCs w:val="24"/>
        </w:rPr>
        <w:t>cesan</w:t>
      </w:r>
      <w:r w:rsidRPr="00DA2EF5">
        <w:rPr>
          <w:rFonts w:ascii="Times New Roman" w:hAnsi="Times New Roman" w:cs="Times New Roman"/>
          <w:sz w:val="24"/>
          <w:szCs w:val="24"/>
        </w:rPr>
        <w:t xml:space="preserve"> las llegadas de inmigrantes, continuando las salidas de población joven española hacia el exterior, el crecimiento de la población anciana seguirá </w:t>
      </w:r>
      <w:r w:rsidR="00805D84">
        <w:rPr>
          <w:rFonts w:ascii="Times New Roman" w:hAnsi="Times New Roman" w:cs="Times New Roman"/>
          <w:sz w:val="24"/>
          <w:szCs w:val="24"/>
        </w:rPr>
        <w:t>incrementándose progresivamente</w:t>
      </w:r>
      <w:r w:rsidRPr="00DA2EF5">
        <w:rPr>
          <w:rFonts w:ascii="Times New Roman" w:hAnsi="Times New Roman" w:cs="Times New Roman"/>
          <w:sz w:val="24"/>
          <w:szCs w:val="24"/>
        </w:rPr>
        <w:t>.</w:t>
      </w:r>
      <w:r w:rsidR="00EF38B6">
        <w:rPr>
          <w:rFonts w:ascii="Times New Roman" w:hAnsi="Times New Roman" w:cs="Times New Roman"/>
          <w:sz w:val="24"/>
          <w:szCs w:val="24"/>
        </w:rPr>
        <w:t xml:space="preserve"> </w:t>
      </w:r>
      <w:r w:rsidR="00F66A0F">
        <w:rPr>
          <w:rFonts w:ascii="Times New Roman" w:hAnsi="Times New Roman" w:cs="Times New Roman"/>
          <w:sz w:val="24"/>
          <w:szCs w:val="24"/>
        </w:rPr>
        <w:t>Sin embargo, dentro de este panorama, la Región de Murcia</w:t>
      </w:r>
      <w:r w:rsidR="00213708">
        <w:rPr>
          <w:rFonts w:ascii="Times New Roman" w:hAnsi="Times New Roman" w:cs="Times New Roman"/>
          <w:sz w:val="24"/>
          <w:szCs w:val="24"/>
        </w:rPr>
        <w:t xml:space="preserve"> </w:t>
      </w:r>
      <w:r w:rsidRPr="00DA2EF5">
        <w:rPr>
          <w:rFonts w:ascii="Times New Roman" w:hAnsi="Times New Roman" w:cs="Times New Roman"/>
          <w:sz w:val="24"/>
          <w:szCs w:val="24"/>
        </w:rPr>
        <w:t xml:space="preserve">posee unas tasas de natalidad y fecundidad superiores a la media nacional y a las de la mayoría de las </w:t>
      </w:r>
      <w:r w:rsidR="00213708">
        <w:rPr>
          <w:rFonts w:ascii="Times New Roman" w:hAnsi="Times New Roman" w:cs="Times New Roman"/>
          <w:sz w:val="24"/>
          <w:szCs w:val="24"/>
        </w:rPr>
        <w:t>c</w:t>
      </w:r>
      <w:r w:rsidRPr="00DA2EF5">
        <w:rPr>
          <w:rFonts w:ascii="Times New Roman" w:hAnsi="Times New Roman" w:cs="Times New Roman"/>
          <w:sz w:val="24"/>
          <w:szCs w:val="24"/>
        </w:rPr>
        <w:t xml:space="preserve">omunidades </w:t>
      </w:r>
      <w:r w:rsidR="00213708">
        <w:rPr>
          <w:rFonts w:ascii="Times New Roman" w:hAnsi="Times New Roman" w:cs="Times New Roman"/>
          <w:sz w:val="24"/>
          <w:szCs w:val="24"/>
        </w:rPr>
        <w:t>a</w:t>
      </w:r>
      <w:r w:rsidRPr="00DA2EF5">
        <w:rPr>
          <w:rFonts w:ascii="Times New Roman" w:hAnsi="Times New Roman" w:cs="Times New Roman"/>
          <w:sz w:val="24"/>
          <w:szCs w:val="24"/>
        </w:rPr>
        <w:t>utónomas</w:t>
      </w:r>
      <w:r w:rsidR="00805D84">
        <w:rPr>
          <w:rFonts w:ascii="Times New Roman" w:hAnsi="Times New Roman" w:cs="Times New Roman"/>
          <w:sz w:val="24"/>
          <w:szCs w:val="24"/>
        </w:rPr>
        <w:t xml:space="preserve">. Es decir, </w:t>
      </w:r>
      <w:r w:rsidRPr="00DA2EF5">
        <w:rPr>
          <w:rFonts w:ascii="Times New Roman" w:hAnsi="Times New Roman" w:cs="Times New Roman"/>
          <w:sz w:val="24"/>
          <w:szCs w:val="24"/>
        </w:rPr>
        <w:t xml:space="preserve">ha experimentado un envejecimiento demográfico, pero en menor medida que el conjunto español. </w:t>
      </w:r>
    </w:p>
    <w:p w:rsidR="001C0680" w:rsidRDefault="00CD0C6F" w:rsidP="002B04AF">
      <w:pPr>
        <w:spacing w:line="360" w:lineRule="auto"/>
        <w:ind w:firstLine="284"/>
        <w:jc w:val="both"/>
        <w:rPr>
          <w:rFonts w:ascii="Times New Roman" w:hAnsi="Times New Roman" w:cs="Times New Roman"/>
          <w:bCs/>
          <w:sz w:val="24"/>
          <w:szCs w:val="24"/>
        </w:rPr>
      </w:pPr>
      <w:commentRangeStart w:id="3"/>
      <w:r>
        <w:rPr>
          <w:rFonts w:ascii="Times New Roman" w:hAnsi="Times New Roman" w:cs="Times New Roman"/>
          <w:sz w:val="24"/>
          <w:szCs w:val="24"/>
        </w:rPr>
        <w:t>Si observamos la Figura 1 se puede contemplar cómo la Región de Murcia se sitúa en un cuarto puesto con respecto a las demás comunidades autónomas. En peor lugar encontramos a Asturias, Galicia y Castilla y León, con tasas de envejecimiento acusadas.</w:t>
      </w:r>
      <w:r w:rsidR="00D97F7F">
        <w:rPr>
          <w:rFonts w:ascii="Times New Roman" w:hAnsi="Times New Roman" w:cs="Times New Roman"/>
          <w:sz w:val="24"/>
          <w:szCs w:val="24"/>
        </w:rPr>
        <w:t xml:space="preserve"> Esto se debe a que en estas comunidades autónomas predominan las actividades primarias </w:t>
      </w:r>
      <w:r w:rsidR="001C0680">
        <w:rPr>
          <w:rFonts w:ascii="Times New Roman" w:hAnsi="Times New Roman" w:cs="Times New Roman"/>
          <w:sz w:val="24"/>
          <w:szCs w:val="24"/>
        </w:rPr>
        <w:t>y los paisajes rurales</w:t>
      </w:r>
      <w:r w:rsidR="006245FF">
        <w:rPr>
          <w:rFonts w:ascii="Times New Roman" w:hAnsi="Times New Roman" w:cs="Times New Roman"/>
          <w:sz w:val="24"/>
          <w:szCs w:val="24"/>
        </w:rPr>
        <w:t xml:space="preserve">, por lo que desde épocas </w:t>
      </w:r>
      <w:r w:rsidR="00DD29CC">
        <w:rPr>
          <w:rFonts w:ascii="Times New Roman" w:hAnsi="Times New Roman" w:cs="Times New Roman"/>
          <w:sz w:val="24"/>
          <w:szCs w:val="24"/>
        </w:rPr>
        <w:t>anteriores</w:t>
      </w:r>
      <w:r w:rsidR="006245FF">
        <w:rPr>
          <w:rFonts w:ascii="Times New Roman" w:hAnsi="Times New Roman" w:cs="Times New Roman"/>
          <w:sz w:val="24"/>
          <w:szCs w:val="24"/>
        </w:rPr>
        <w:t xml:space="preserve"> se ha producido una intensa emigración en ellas</w:t>
      </w:r>
      <w:r w:rsidR="001C0680">
        <w:rPr>
          <w:rFonts w:ascii="Times New Roman" w:hAnsi="Times New Roman" w:cs="Times New Roman"/>
          <w:sz w:val="24"/>
          <w:szCs w:val="24"/>
        </w:rPr>
        <w:t xml:space="preserve"> </w:t>
      </w:r>
      <w:r w:rsidR="001C0680" w:rsidRPr="001C0680">
        <w:rPr>
          <w:rFonts w:ascii="Times New Roman" w:hAnsi="Times New Roman" w:cs="Times New Roman"/>
          <w:bCs/>
          <w:sz w:val="24"/>
          <w:szCs w:val="24"/>
        </w:rPr>
        <w:t>(JIMÉNEZ BLASCO, 2008).</w:t>
      </w:r>
      <w:commentRangeEnd w:id="3"/>
      <w:r w:rsidR="004A50F3">
        <w:rPr>
          <w:rStyle w:val="Refdecomentario"/>
        </w:rPr>
        <w:commentReference w:id="3"/>
      </w:r>
    </w:p>
    <w:p w:rsidR="00423289" w:rsidRDefault="00423289" w:rsidP="001C0680">
      <w:pPr>
        <w:ind w:firstLine="284"/>
        <w:jc w:val="both"/>
        <w:rPr>
          <w:rFonts w:ascii="Times New Roman" w:hAnsi="Times New Roman" w:cs="Times New Roman"/>
          <w:sz w:val="24"/>
          <w:szCs w:val="24"/>
        </w:rPr>
      </w:pPr>
    </w:p>
    <w:p w:rsidR="00D865FD" w:rsidRDefault="00D865FD" w:rsidP="00D865FD">
      <w:pPr>
        <w:jc w:val="center"/>
        <w:rPr>
          <w:rFonts w:ascii="Times New Roman" w:hAnsi="Times New Roman" w:cs="Times New Roman"/>
          <w:sz w:val="24"/>
          <w:szCs w:val="24"/>
        </w:rPr>
      </w:pPr>
      <w:commentRangeStart w:id="4"/>
      <w:r>
        <w:rPr>
          <w:rFonts w:ascii="Times New Roman" w:hAnsi="Times New Roman" w:cs="Times New Roman"/>
          <w:sz w:val="24"/>
          <w:szCs w:val="24"/>
        </w:rPr>
        <w:t>FIGURA 1</w:t>
      </w:r>
    </w:p>
    <w:p w:rsidR="00D865FD" w:rsidRPr="000B3A1D" w:rsidRDefault="00D865FD" w:rsidP="00D865FD">
      <w:pPr>
        <w:jc w:val="center"/>
        <w:rPr>
          <w:rFonts w:ascii="Times New Roman" w:hAnsi="Times New Roman" w:cs="Times New Roman"/>
          <w:sz w:val="24"/>
          <w:szCs w:val="24"/>
        </w:rPr>
      </w:pPr>
      <w:r w:rsidRPr="000B3A1D">
        <w:rPr>
          <w:rFonts w:ascii="Times New Roman" w:hAnsi="Times New Roman" w:cs="Times New Roman"/>
          <w:sz w:val="24"/>
          <w:szCs w:val="24"/>
        </w:rPr>
        <w:t xml:space="preserve">Índice de envejecimiento </w:t>
      </w:r>
      <w:r w:rsidRPr="000B3A1D">
        <w:rPr>
          <w:rFonts w:ascii="Times New Roman" w:hAnsi="Times New Roman" w:cs="Times New Roman"/>
          <w:noProof/>
          <w:sz w:val="24"/>
          <w:szCs w:val="24"/>
        </w:rPr>
        <w:t xml:space="preserve">(%) </w:t>
      </w:r>
      <w:r w:rsidRPr="000B3A1D">
        <w:rPr>
          <w:rFonts w:ascii="Times New Roman" w:hAnsi="Times New Roman" w:cs="Times New Roman"/>
          <w:sz w:val="24"/>
          <w:szCs w:val="24"/>
        </w:rPr>
        <w:t>por CC.AA. (</w:t>
      </w:r>
      <w:r>
        <w:rPr>
          <w:rFonts w:ascii="Times New Roman" w:hAnsi="Times New Roman" w:cs="Times New Roman"/>
          <w:sz w:val="24"/>
          <w:szCs w:val="24"/>
        </w:rPr>
        <w:t>2014</w:t>
      </w:r>
      <w:r w:rsidRPr="000B3A1D">
        <w:rPr>
          <w:rFonts w:ascii="Times New Roman" w:hAnsi="Times New Roman" w:cs="Times New Roman"/>
          <w:sz w:val="24"/>
          <w:szCs w:val="24"/>
        </w:rPr>
        <w:t>)</w:t>
      </w:r>
    </w:p>
    <w:commentRangeEnd w:id="4"/>
    <w:p w:rsidR="00D865FD" w:rsidRDefault="00D865FD" w:rsidP="00D865FD">
      <w:pPr>
        <w:jc w:val="center"/>
        <w:rPr>
          <w:rFonts w:ascii="Arial" w:hAnsi="Arial" w:cs="Arial"/>
        </w:rPr>
      </w:pPr>
      <w:r>
        <w:rPr>
          <w:rStyle w:val="Refdecomentario"/>
        </w:rPr>
        <w:commentReference w:id="4"/>
      </w:r>
      <w:r w:rsidRPr="00D87912">
        <w:rPr>
          <w:rFonts w:ascii="Arial" w:hAnsi="Arial" w:cs="Arial"/>
          <w:noProof/>
          <w:lang w:eastAsia="es-ES"/>
        </w:rPr>
        <w:drawing>
          <wp:inline distT="0" distB="0" distL="0" distR="0">
            <wp:extent cx="4295775" cy="3190875"/>
            <wp:effectExtent l="0" t="0" r="0" b="0"/>
            <wp:docPr id="11" name="Gráfico 18"/>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rsidR="00D865FD" w:rsidRPr="00DA2EF5" w:rsidRDefault="00D865FD" w:rsidP="00D865FD">
      <w:pPr>
        <w:spacing w:line="360" w:lineRule="auto"/>
        <w:jc w:val="both"/>
        <w:rPr>
          <w:rFonts w:ascii="Times New Roman" w:hAnsi="Times New Roman" w:cs="Times New Roman"/>
          <w:noProof/>
          <w:sz w:val="24"/>
          <w:szCs w:val="24"/>
        </w:rPr>
      </w:pPr>
      <w:r w:rsidRPr="000B3A1D">
        <w:rPr>
          <w:rFonts w:ascii="Times New Roman" w:hAnsi="Times New Roman" w:cs="Times New Roman"/>
          <w:noProof/>
          <w:sz w:val="24"/>
          <w:szCs w:val="24"/>
        </w:rPr>
        <w:t>Fuente: Elaboración propia a partir de los datos extraídos del INE.</w:t>
      </w:r>
    </w:p>
    <w:p w:rsidR="002B04AF" w:rsidRPr="002B04AF" w:rsidRDefault="00DA2EF5" w:rsidP="002B04AF">
      <w:pPr>
        <w:spacing w:line="360" w:lineRule="auto"/>
        <w:ind w:firstLine="284"/>
        <w:jc w:val="both"/>
        <w:rPr>
          <w:rFonts w:ascii="Times New Roman" w:hAnsi="Times New Roman" w:cs="Times New Roman"/>
          <w:sz w:val="24"/>
          <w:szCs w:val="24"/>
        </w:rPr>
      </w:pPr>
      <w:r w:rsidRPr="00DA2EF5">
        <w:rPr>
          <w:rFonts w:ascii="Times New Roman" w:hAnsi="Times New Roman" w:cs="Times New Roman"/>
          <w:sz w:val="24"/>
          <w:szCs w:val="24"/>
        </w:rPr>
        <w:lastRenderedPageBreak/>
        <w:t>En la fachada mediterránea se superponen motivos de atracción que interesan a los extranjeros de todas las procedencias,</w:t>
      </w:r>
      <w:r w:rsidR="00796EEB">
        <w:rPr>
          <w:rFonts w:ascii="Times New Roman" w:hAnsi="Times New Roman" w:cs="Times New Roman"/>
          <w:sz w:val="24"/>
          <w:szCs w:val="24"/>
        </w:rPr>
        <w:t xml:space="preserve"> donde destaca</w:t>
      </w:r>
      <w:r w:rsidRPr="00DA2EF5">
        <w:rPr>
          <w:rFonts w:ascii="Times New Roman" w:hAnsi="Times New Roman" w:cs="Times New Roman"/>
          <w:sz w:val="24"/>
          <w:szCs w:val="24"/>
        </w:rPr>
        <w:t xml:space="preserve"> la benignidad que proporcionan el clima, el paisaje y la accesibilidad (</w:t>
      </w:r>
      <w:r w:rsidR="00077DD7" w:rsidRPr="00DA2EF5">
        <w:rPr>
          <w:rFonts w:ascii="Times New Roman" w:hAnsi="Times New Roman" w:cs="Times New Roman"/>
          <w:sz w:val="24"/>
          <w:szCs w:val="24"/>
        </w:rPr>
        <w:t>GOZÁLVEZ PÉREZ</w:t>
      </w:r>
      <w:r w:rsidRPr="00DA2EF5">
        <w:rPr>
          <w:rFonts w:ascii="Times New Roman" w:hAnsi="Times New Roman" w:cs="Times New Roman"/>
          <w:sz w:val="24"/>
          <w:szCs w:val="24"/>
        </w:rPr>
        <w:t xml:space="preserve">, 2010). Estos factores, acompañados de la intensa urbanización, son los causantes de la atracción de población joven de diversas procedencias, lo que origina mayores tasas de fecundidad y natalidad y hace que la Región de Murcia </w:t>
      </w:r>
      <w:r w:rsidR="00CA6D34">
        <w:rPr>
          <w:rFonts w:ascii="Times New Roman" w:hAnsi="Times New Roman" w:cs="Times New Roman"/>
          <w:sz w:val="24"/>
          <w:szCs w:val="24"/>
        </w:rPr>
        <w:t>posea</w:t>
      </w:r>
      <w:r w:rsidRPr="00DA2EF5">
        <w:rPr>
          <w:rFonts w:ascii="Times New Roman" w:hAnsi="Times New Roman" w:cs="Times New Roman"/>
          <w:sz w:val="24"/>
          <w:szCs w:val="24"/>
        </w:rPr>
        <w:t xml:space="preserve"> mejores tasas demográficas.</w:t>
      </w:r>
      <w:r w:rsidR="003241B8">
        <w:rPr>
          <w:rFonts w:ascii="Times New Roman" w:hAnsi="Times New Roman" w:cs="Times New Roman"/>
          <w:sz w:val="24"/>
          <w:szCs w:val="24"/>
        </w:rPr>
        <w:t xml:space="preserve"> </w:t>
      </w:r>
      <w:commentRangeStart w:id="5"/>
      <w:r w:rsidR="003241B8">
        <w:rPr>
          <w:rFonts w:ascii="Times New Roman" w:hAnsi="Times New Roman" w:cs="Times New Roman"/>
          <w:sz w:val="24"/>
          <w:szCs w:val="24"/>
        </w:rPr>
        <w:t xml:space="preserve">Sin embargo, estos factores también atraen a población </w:t>
      </w:r>
      <w:r w:rsidR="00DD29CC">
        <w:rPr>
          <w:rFonts w:ascii="Times New Roman" w:hAnsi="Times New Roman" w:cs="Times New Roman"/>
          <w:sz w:val="24"/>
          <w:szCs w:val="24"/>
        </w:rPr>
        <w:t>envejecida</w:t>
      </w:r>
      <w:r w:rsidR="003241B8">
        <w:rPr>
          <w:rFonts w:ascii="Times New Roman" w:hAnsi="Times New Roman" w:cs="Times New Roman"/>
          <w:sz w:val="24"/>
          <w:szCs w:val="24"/>
        </w:rPr>
        <w:t>, es decir, se produ</w:t>
      </w:r>
      <w:r w:rsidR="002B04AF">
        <w:rPr>
          <w:rFonts w:ascii="Times New Roman" w:hAnsi="Times New Roman" w:cs="Times New Roman"/>
          <w:sz w:val="24"/>
          <w:szCs w:val="24"/>
        </w:rPr>
        <w:t xml:space="preserve">ce una inmigración de jubilados atraídos en </w:t>
      </w:r>
      <w:r w:rsidR="00763283">
        <w:rPr>
          <w:rFonts w:ascii="Times New Roman" w:hAnsi="Times New Roman" w:cs="Times New Roman"/>
          <w:sz w:val="24"/>
          <w:szCs w:val="24"/>
        </w:rPr>
        <w:t>mayor medida</w:t>
      </w:r>
      <w:r w:rsidR="002B04AF">
        <w:rPr>
          <w:rFonts w:ascii="Times New Roman" w:hAnsi="Times New Roman" w:cs="Times New Roman"/>
          <w:sz w:val="24"/>
          <w:szCs w:val="24"/>
        </w:rPr>
        <w:t xml:space="preserve"> por las condiciones climáticas tan favorables</w:t>
      </w:r>
      <w:r w:rsidR="00763283">
        <w:rPr>
          <w:rFonts w:ascii="Times New Roman" w:hAnsi="Times New Roman" w:cs="Times New Roman"/>
          <w:sz w:val="24"/>
          <w:szCs w:val="24"/>
        </w:rPr>
        <w:t>, que dan lugar a situaciones de ocio y tiempo libre</w:t>
      </w:r>
      <w:r w:rsidR="002B04AF">
        <w:rPr>
          <w:rFonts w:ascii="Times New Roman" w:hAnsi="Times New Roman" w:cs="Times New Roman"/>
          <w:sz w:val="24"/>
          <w:szCs w:val="24"/>
        </w:rPr>
        <w:t xml:space="preserve">. Este fenómeno se refleja con mayor asiduidad en los municipios del Sureste de la Región de Murcia, como </w:t>
      </w:r>
      <w:r w:rsidR="002B04AF" w:rsidRPr="002B04AF">
        <w:rPr>
          <w:rFonts w:ascii="Times New Roman" w:hAnsi="Times New Roman" w:cs="Times New Roman"/>
          <w:sz w:val="24"/>
          <w:szCs w:val="24"/>
        </w:rPr>
        <w:t>Mazarrón, Cartagena y Los Alcázares.</w:t>
      </w:r>
      <w:r w:rsidR="002B04AF">
        <w:rPr>
          <w:rFonts w:ascii="Times New Roman" w:hAnsi="Times New Roman" w:cs="Times New Roman"/>
          <w:sz w:val="24"/>
          <w:szCs w:val="24"/>
        </w:rPr>
        <w:t xml:space="preserve"> </w:t>
      </w:r>
      <w:r w:rsidR="00DD29CC">
        <w:rPr>
          <w:rFonts w:ascii="Times New Roman" w:hAnsi="Times New Roman" w:cs="Times New Roman"/>
          <w:sz w:val="24"/>
          <w:szCs w:val="24"/>
        </w:rPr>
        <w:t>En</w:t>
      </w:r>
      <w:r w:rsidR="002B04AF">
        <w:rPr>
          <w:rFonts w:ascii="Times New Roman" w:hAnsi="Times New Roman" w:cs="Times New Roman"/>
          <w:sz w:val="24"/>
          <w:szCs w:val="24"/>
        </w:rPr>
        <w:t xml:space="preserve"> consecuencia, la </w:t>
      </w:r>
      <w:r w:rsidR="00D865FD">
        <w:rPr>
          <w:rFonts w:ascii="Times New Roman" w:hAnsi="Times New Roman" w:cs="Times New Roman"/>
          <w:sz w:val="24"/>
          <w:szCs w:val="24"/>
        </w:rPr>
        <w:t xml:space="preserve">estructura por edades </w:t>
      </w:r>
      <w:r w:rsidR="002B04AF">
        <w:rPr>
          <w:rFonts w:ascii="Times New Roman" w:hAnsi="Times New Roman" w:cs="Times New Roman"/>
          <w:sz w:val="24"/>
          <w:szCs w:val="24"/>
        </w:rPr>
        <w:t>de estos municipios se ve alterada</w:t>
      </w:r>
      <w:r w:rsidR="00763283">
        <w:rPr>
          <w:rFonts w:ascii="Times New Roman" w:hAnsi="Times New Roman" w:cs="Times New Roman"/>
          <w:sz w:val="24"/>
          <w:szCs w:val="24"/>
        </w:rPr>
        <w:t xml:space="preserve"> al </w:t>
      </w:r>
      <w:r w:rsidR="00D865FD">
        <w:rPr>
          <w:rFonts w:ascii="Times New Roman" w:hAnsi="Times New Roman" w:cs="Times New Roman"/>
          <w:sz w:val="24"/>
          <w:szCs w:val="24"/>
        </w:rPr>
        <w:t>aumenta</w:t>
      </w:r>
      <w:r w:rsidR="00763283">
        <w:rPr>
          <w:rFonts w:ascii="Times New Roman" w:hAnsi="Times New Roman" w:cs="Times New Roman"/>
          <w:sz w:val="24"/>
          <w:szCs w:val="24"/>
        </w:rPr>
        <w:t>r</w:t>
      </w:r>
      <w:r w:rsidR="00D865FD">
        <w:rPr>
          <w:rFonts w:ascii="Times New Roman" w:hAnsi="Times New Roman" w:cs="Times New Roman"/>
          <w:sz w:val="24"/>
          <w:szCs w:val="24"/>
        </w:rPr>
        <w:t xml:space="preserve"> la proporción de personas mayores de 65 años.</w:t>
      </w:r>
      <w:commentRangeEnd w:id="5"/>
      <w:r w:rsidR="00D865FD">
        <w:rPr>
          <w:rStyle w:val="Refdecomentario"/>
        </w:rPr>
        <w:commentReference w:id="5"/>
      </w:r>
    </w:p>
    <w:p w:rsidR="00D865FD" w:rsidRPr="00D865FD" w:rsidRDefault="00D865FD" w:rsidP="00D865FD">
      <w:pPr>
        <w:spacing w:line="360" w:lineRule="auto"/>
        <w:ind w:firstLine="284"/>
        <w:jc w:val="both"/>
        <w:rPr>
          <w:rFonts w:ascii="Times New Roman" w:hAnsi="Times New Roman" w:cs="Times New Roman"/>
          <w:sz w:val="24"/>
          <w:szCs w:val="24"/>
        </w:rPr>
      </w:pPr>
      <w:r w:rsidRPr="00D865FD">
        <w:rPr>
          <w:rFonts w:ascii="Times New Roman" w:hAnsi="Times New Roman" w:cs="Times New Roman"/>
          <w:sz w:val="24"/>
          <w:szCs w:val="24"/>
        </w:rPr>
        <w:t>En este artículo se presenta la estructura y dinámica de la población de la Región de Murcia que</w:t>
      </w:r>
      <w:r w:rsidR="00796EEB">
        <w:rPr>
          <w:rFonts w:ascii="Times New Roman" w:hAnsi="Times New Roman" w:cs="Times New Roman"/>
          <w:sz w:val="24"/>
          <w:szCs w:val="24"/>
        </w:rPr>
        <w:t>,</w:t>
      </w:r>
      <w:r w:rsidRPr="00D865FD">
        <w:rPr>
          <w:rFonts w:ascii="Times New Roman" w:hAnsi="Times New Roman" w:cs="Times New Roman"/>
          <w:sz w:val="24"/>
          <w:szCs w:val="24"/>
        </w:rPr>
        <w:t xml:space="preserve"> a pesar de exhibir datos más favorables que el conjunto español, está caracterizada en la actualidad por </w:t>
      </w:r>
      <w:r w:rsidR="00796EEB">
        <w:rPr>
          <w:rFonts w:ascii="Times New Roman" w:hAnsi="Times New Roman" w:cs="Times New Roman"/>
          <w:sz w:val="24"/>
          <w:szCs w:val="24"/>
        </w:rPr>
        <w:t>un</w:t>
      </w:r>
      <w:r w:rsidRPr="00D865FD">
        <w:rPr>
          <w:rFonts w:ascii="Times New Roman" w:hAnsi="Times New Roman" w:cs="Times New Roman"/>
          <w:sz w:val="24"/>
          <w:szCs w:val="24"/>
        </w:rPr>
        <w:t xml:space="preserve"> proceso de envejecimiento demográfico.</w:t>
      </w:r>
    </w:p>
    <w:p w:rsidR="00D865FD" w:rsidRPr="00D865FD" w:rsidRDefault="00D865FD" w:rsidP="00D865FD">
      <w:pPr>
        <w:spacing w:line="360" w:lineRule="auto"/>
        <w:ind w:firstLine="284"/>
        <w:jc w:val="both"/>
        <w:rPr>
          <w:rFonts w:ascii="Times New Roman" w:hAnsi="Times New Roman" w:cs="Times New Roman"/>
          <w:sz w:val="24"/>
          <w:szCs w:val="24"/>
        </w:rPr>
      </w:pPr>
      <w:r w:rsidRPr="00D865FD">
        <w:rPr>
          <w:rFonts w:ascii="Times New Roman" w:hAnsi="Times New Roman" w:cs="Times New Roman"/>
          <w:sz w:val="24"/>
          <w:szCs w:val="24"/>
        </w:rPr>
        <w:t>El trabajo se organiza de la siguiente manera: en el epígrafe que sigue se expone la metodología seguida para el análisis de este proceso de envejecimiento</w:t>
      </w:r>
      <w:r w:rsidR="00796EEB">
        <w:rPr>
          <w:rFonts w:ascii="Times New Roman" w:hAnsi="Times New Roman" w:cs="Times New Roman"/>
          <w:sz w:val="24"/>
          <w:szCs w:val="24"/>
        </w:rPr>
        <w:t>.</w:t>
      </w:r>
      <w:r w:rsidRPr="00D865FD">
        <w:rPr>
          <w:rFonts w:ascii="Times New Roman" w:hAnsi="Times New Roman" w:cs="Times New Roman"/>
          <w:sz w:val="24"/>
          <w:szCs w:val="24"/>
        </w:rPr>
        <w:t xml:space="preserve"> </w:t>
      </w:r>
      <w:r w:rsidR="00796EEB">
        <w:rPr>
          <w:rFonts w:ascii="Times New Roman" w:hAnsi="Times New Roman" w:cs="Times New Roman"/>
          <w:sz w:val="24"/>
          <w:szCs w:val="24"/>
        </w:rPr>
        <w:t>P</w:t>
      </w:r>
      <w:r w:rsidRPr="00D865FD">
        <w:rPr>
          <w:rFonts w:ascii="Times New Roman" w:hAnsi="Times New Roman" w:cs="Times New Roman"/>
          <w:sz w:val="24"/>
          <w:szCs w:val="24"/>
        </w:rPr>
        <w:t>osteriormente se estudia la estructura y dinámica de la población en la Región de Murcia durante la última década. A continuación se analizan tendencias espaciales del envejecimiento demográfico (análisis local), y finalmente, se concluye con un breve epígrafe de conclusiones y consideraciones finales, donde se expone una síntesis final de los distintos apartados y unas propuestas generales de necesaria actuación.</w:t>
      </w:r>
    </w:p>
    <w:p w:rsidR="000B3A1D" w:rsidRDefault="000B3A1D" w:rsidP="004C1968">
      <w:pPr>
        <w:spacing w:line="360" w:lineRule="auto"/>
        <w:jc w:val="both"/>
        <w:rPr>
          <w:rFonts w:ascii="Times New Roman" w:hAnsi="Times New Roman" w:cs="Times New Roman"/>
          <w:sz w:val="24"/>
          <w:szCs w:val="24"/>
        </w:rPr>
      </w:pPr>
    </w:p>
    <w:p w:rsidR="006A23A3" w:rsidRPr="006A23A3" w:rsidRDefault="008F4B60" w:rsidP="006A23A3">
      <w:pPr>
        <w:pStyle w:val="Ttulo1"/>
        <w:spacing w:before="0" w:line="240" w:lineRule="auto"/>
        <w:jc w:val="both"/>
        <w:rPr>
          <w:rFonts w:ascii="Times New Roman" w:hAnsi="Times New Roman" w:cs="Times New Roman"/>
          <w:color w:val="auto"/>
          <w:sz w:val="24"/>
          <w:szCs w:val="24"/>
        </w:rPr>
      </w:pPr>
      <w:bookmarkStart w:id="6" w:name="_Toc388558088"/>
      <w:r w:rsidRPr="006A23A3">
        <w:rPr>
          <w:rFonts w:ascii="Times New Roman" w:hAnsi="Times New Roman" w:cs="Times New Roman"/>
          <w:color w:val="auto"/>
          <w:sz w:val="24"/>
          <w:szCs w:val="24"/>
        </w:rPr>
        <w:t>2. METODOLOGÍA</w:t>
      </w:r>
      <w:bookmarkEnd w:id="6"/>
    </w:p>
    <w:p w:rsidR="006A23A3" w:rsidRDefault="006A23A3" w:rsidP="006A23A3">
      <w:pPr>
        <w:jc w:val="both"/>
        <w:rPr>
          <w:rFonts w:ascii="Times New Roman" w:hAnsi="Times New Roman" w:cs="Times New Roman"/>
          <w:sz w:val="24"/>
          <w:szCs w:val="24"/>
        </w:rPr>
      </w:pPr>
    </w:p>
    <w:p w:rsidR="006A23A3" w:rsidRPr="006A23A3" w:rsidRDefault="006A23A3" w:rsidP="00210056">
      <w:pPr>
        <w:spacing w:line="360" w:lineRule="auto"/>
        <w:ind w:firstLine="284"/>
        <w:jc w:val="both"/>
        <w:rPr>
          <w:rFonts w:ascii="Times New Roman" w:hAnsi="Times New Roman" w:cs="Times New Roman"/>
          <w:sz w:val="24"/>
          <w:szCs w:val="24"/>
        </w:rPr>
      </w:pPr>
      <w:r w:rsidRPr="006A23A3">
        <w:rPr>
          <w:rFonts w:ascii="Times New Roman" w:hAnsi="Times New Roman" w:cs="Times New Roman"/>
          <w:sz w:val="24"/>
          <w:szCs w:val="24"/>
        </w:rPr>
        <w:t>Para el estudio del envejecimiento poblacional en la Región de Murcia y sus diversos municipios se han tomado los datos de los censos de población y padrones municipales, sobre todo de la última década hasta la actualidad. Así</w:t>
      </w:r>
      <w:r w:rsidR="00796EEB">
        <w:rPr>
          <w:rFonts w:ascii="Times New Roman" w:hAnsi="Times New Roman" w:cs="Times New Roman"/>
          <w:sz w:val="24"/>
          <w:szCs w:val="24"/>
        </w:rPr>
        <w:t>,</w:t>
      </w:r>
      <w:r w:rsidRPr="006A23A3">
        <w:rPr>
          <w:rFonts w:ascii="Times New Roman" w:hAnsi="Times New Roman" w:cs="Times New Roman"/>
          <w:sz w:val="24"/>
          <w:szCs w:val="24"/>
        </w:rPr>
        <w:t xml:space="preserve"> se ha comprobado la evolución de dicho envejecimiento. Además, el trabajo se ha centrado a nivel </w:t>
      </w:r>
      <w:r w:rsidR="0066049F">
        <w:rPr>
          <w:rFonts w:ascii="Times New Roman" w:hAnsi="Times New Roman" w:cs="Times New Roman"/>
          <w:sz w:val="24"/>
          <w:szCs w:val="24"/>
        </w:rPr>
        <w:t>municipal</w:t>
      </w:r>
      <w:r w:rsidRPr="006A23A3">
        <w:rPr>
          <w:rFonts w:ascii="Times New Roman" w:hAnsi="Times New Roman" w:cs="Times New Roman"/>
          <w:sz w:val="24"/>
          <w:szCs w:val="24"/>
        </w:rPr>
        <w:t xml:space="preserve">, con el fin de conocer la incidencia del envejecimiento a escala </w:t>
      </w:r>
      <w:r>
        <w:rPr>
          <w:rFonts w:ascii="Times New Roman" w:hAnsi="Times New Roman" w:cs="Times New Roman"/>
          <w:sz w:val="24"/>
          <w:szCs w:val="24"/>
        </w:rPr>
        <w:t>loca</w:t>
      </w:r>
      <w:r w:rsidRPr="006A23A3">
        <w:rPr>
          <w:rFonts w:ascii="Times New Roman" w:hAnsi="Times New Roman" w:cs="Times New Roman"/>
          <w:sz w:val="24"/>
          <w:szCs w:val="24"/>
        </w:rPr>
        <w:t>l.</w:t>
      </w:r>
    </w:p>
    <w:p w:rsidR="00A80E6D" w:rsidRDefault="006A23A3" w:rsidP="00210056">
      <w:pPr>
        <w:spacing w:line="360" w:lineRule="auto"/>
        <w:ind w:firstLine="284"/>
        <w:jc w:val="both"/>
        <w:rPr>
          <w:rFonts w:ascii="Times New Roman" w:hAnsi="Times New Roman" w:cs="Times New Roman"/>
          <w:sz w:val="24"/>
          <w:szCs w:val="24"/>
        </w:rPr>
      </w:pPr>
      <w:r w:rsidRPr="006A23A3">
        <w:rPr>
          <w:rFonts w:ascii="Times New Roman" w:hAnsi="Times New Roman" w:cs="Times New Roman"/>
          <w:sz w:val="24"/>
          <w:szCs w:val="24"/>
        </w:rPr>
        <w:t>La utilización de diversos índices ha sido el método escogido para establecer el grado de envejecimiento de la Región de Murcia y de los diferentes municipios, con el objetivo de determinar el lugar en que se encuentra</w:t>
      </w:r>
      <w:r>
        <w:rPr>
          <w:rFonts w:ascii="Times New Roman" w:hAnsi="Times New Roman" w:cs="Times New Roman"/>
          <w:sz w:val="24"/>
          <w:szCs w:val="24"/>
        </w:rPr>
        <w:t>n con respecto a la media regional</w:t>
      </w:r>
      <w:r w:rsidRPr="006A23A3">
        <w:rPr>
          <w:rFonts w:ascii="Times New Roman" w:hAnsi="Times New Roman" w:cs="Times New Roman"/>
          <w:sz w:val="24"/>
          <w:szCs w:val="24"/>
        </w:rPr>
        <w:t xml:space="preserve">. </w:t>
      </w:r>
    </w:p>
    <w:p w:rsidR="006A23A3" w:rsidRPr="006A23A3" w:rsidRDefault="006A23A3" w:rsidP="00210056">
      <w:pPr>
        <w:spacing w:line="360" w:lineRule="auto"/>
        <w:ind w:firstLine="284"/>
        <w:jc w:val="both"/>
        <w:rPr>
          <w:rFonts w:ascii="Times New Roman" w:hAnsi="Times New Roman" w:cs="Times New Roman"/>
          <w:sz w:val="24"/>
          <w:szCs w:val="24"/>
        </w:rPr>
      </w:pPr>
      <w:r w:rsidRPr="006A23A3">
        <w:rPr>
          <w:rFonts w:ascii="Times New Roman" w:hAnsi="Times New Roman" w:cs="Times New Roman"/>
          <w:sz w:val="24"/>
          <w:szCs w:val="24"/>
        </w:rPr>
        <w:lastRenderedPageBreak/>
        <w:t>Los índices que se han calculado son el de envejecimiento</w:t>
      </w:r>
      <w:r w:rsidR="001103D8">
        <w:rPr>
          <w:rStyle w:val="Refdenotaalpie"/>
          <w:rFonts w:ascii="Times New Roman" w:hAnsi="Times New Roman" w:cs="Times New Roman"/>
          <w:sz w:val="24"/>
          <w:szCs w:val="24"/>
        </w:rPr>
        <w:footnoteReference w:id="4"/>
      </w:r>
      <w:r w:rsidRPr="006A23A3">
        <w:rPr>
          <w:rFonts w:ascii="Times New Roman" w:hAnsi="Times New Roman" w:cs="Times New Roman"/>
          <w:sz w:val="24"/>
          <w:szCs w:val="24"/>
        </w:rPr>
        <w:t>, sobreenvejecimiento</w:t>
      </w:r>
      <w:r w:rsidR="001103D8">
        <w:rPr>
          <w:rStyle w:val="Refdenotaalpie"/>
          <w:rFonts w:ascii="Times New Roman" w:hAnsi="Times New Roman" w:cs="Times New Roman"/>
          <w:sz w:val="24"/>
          <w:szCs w:val="24"/>
        </w:rPr>
        <w:footnoteReference w:id="5"/>
      </w:r>
      <w:r w:rsidRPr="006A23A3">
        <w:rPr>
          <w:rFonts w:ascii="Times New Roman" w:hAnsi="Times New Roman" w:cs="Times New Roman"/>
          <w:sz w:val="24"/>
          <w:szCs w:val="24"/>
        </w:rPr>
        <w:t xml:space="preserve"> y dependencia para mayores de 64 años</w:t>
      </w:r>
      <w:r w:rsidR="00847074">
        <w:rPr>
          <w:rStyle w:val="Refdenotaalpie"/>
          <w:rFonts w:ascii="Times New Roman" w:hAnsi="Times New Roman" w:cs="Times New Roman"/>
          <w:sz w:val="24"/>
          <w:szCs w:val="24"/>
        </w:rPr>
        <w:footnoteReference w:id="6"/>
      </w:r>
      <w:r w:rsidRPr="006A23A3">
        <w:rPr>
          <w:rFonts w:ascii="Times New Roman" w:hAnsi="Times New Roman" w:cs="Times New Roman"/>
          <w:sz w:val="24"/>
          <w:szCs w:val="24"/>
        </w:rPr>
        <w:t xml:space="preserve">. Asimismo, se han utilizado otros </w:t>
      </w:r>
      <w:r>
        <w:rPr>
          <w:rFonts w:ascii="Times New Roman" w:hAnsi="Times New Roman" w:cs="Times New Roman"/>
          <w:sz w:val="24"/>
          <w:szCs w:val="24"/>
        </w:rPr>
        <w:t>datos</w:t>
      </w:r>
      <w:r w:rsidRPr="006A23A3">
        <w:rPr>
          <w:rFonts w:ascii="Times New Roman" w:hAnsi="Times New Roman" w:cs="Times New Roman"/>
          <w:sz w:val="24"/>
          <w:szCs w:val="24"/>
        </w:rPr>
        <w:t xml:space="preserve"> y tasas, tales como la estructura de la población, fecundidad, natalidad, mortalidad y saldo migratorio.</w:t>
      </w:r>
    </w:p>
    <w:p w:rsidR="006A23A3" w:rsidRPr="006A23A3" w:rsidRDefault="006A23A3" w:rsidP="00210056">
      <w:pPr>
        <w:spacing w:line="360" w:lineRule="auto"/>
        <w:ind w:firstLine="284"/>
        <w:jc w:val="both"/>
        <w:rPr>
          <w:rFonts w:ascii="Times New Roman" w:hAnsi="Times New Roman" w:cs="Times New Roman"/>
          <w:sz w:val="24"/>
          <w:szCs w:val="24"/>
        </w:rPr>
      </w:pPr>
      <w:r w:rsidRPr="006A23A3">
        <w:rPr>
          <w:rFonts w:ascii="Times New Roman" w:hAnsi="Times New Roman" w:cs="Times New Roman"/>
          <w:sz w:val="24"/>
          <w:szCs w:val="24"/>
        </w:rPr>
        <w:t>El empleo de numerosas fuentes de datos, en su mayoría procedentes del Instituto Nacional de Estadística</w:t>
      </w:r>
      <w:r w:rsidR="00A808A4">
        <w:rPr>
          <w:rFonts w:ascii="Times New Roman" w:hAnsi="Times New Roman" w:cs="Times New Roman"/>
          <w:sz w:val="24"/>
          <w:szCs w:val="24"/>
        </w:rPr>
        <w:t xml:space="preserve"> (INE)</w:t>
      </w:r>
      <w:r w:rsidRPr="006A23A3">
        <w:rPr>
          <w:rFonts w:ascii="Times New Roman" w:hAnsi="Times New Roman" w:cs="Times New Roman"/>
          <w:sz w:val="24"/>
          <w:szCs w:val="24"/>
        </w:rPr>
        <w:t xml:space="preserve"> y del Centro Regional de Estadística de Murcia</w:t>
      </w:r>
      <w:r w:rsidR="00A808A4">
        <w:rPr>
          <w:rFonts w:ascii="Times New Roman" w:hAnsi="Times New Roman" w:cs="Times New Roman"/>
          <w:sz w:val="24"/>
          <w:szCs w:val="24"/>
        </w:rPr>
        <w:t xml:space="preserve"> (CREM)</w:t>
      </w:r>
      <w:r w:rsidRPr="006A23A3">
        <w:rPr>
          <w:rFonts w:ascii="Times New Roman" w:hAnsi="Times New Roman" w:cs="Times New Roman"/>
          <w:sz w:val="24"/>
          <w:szCs w:val="24"/>
        </w:rPr>
        <w:t>,</w:t>
      </w:r>
      <w:r>
        <w:rPr>
          <w:rFonts w:ascii="Times New Roman" w:hAnsi="Times New Roman" w:cs="Times New Roman"/>
          <w:sz w:val="24"/>
          <w:szCs w:val="24"/>
        </w:rPr>
        <w:t xml:space="preserve"> ha servido</w:t>
      </w:r>
      <w:r w:rsidRPr="006A23A3">
        <w:rPr>
          <w:rFonts w:ascii="Times New Roman" w:hAnsi="Times New Roman" w:cs="Times New Roman"/>
          <w:sz w:val="24"/>
          <w:szCs w:val="24"/>
        </w:rPr>
        <w:t xml:space="preserve"> de apoyo para los análisis efectuados. </w:t>
      </w:r>
    </w:p>
    <w:p w:rsidR="006A23A3" w:rsidRPr="006A23A3" w:rsidRDefault="006A23A3" w:rsidP="00210056">
      <w:pPr>
        <w:spacing w:line="360" w:lineRule="auto"/>
        <w:ind w:firstLine="284"/>
        <w:jc w:val="both"/>
        <w:rPr>
          <w:rFonts w:ascii="Times New Roman" w:hAnsi="Times New Roman" w:cs="Times New Roman"/>
          <w:sz w:val="24"/>
          <w:szCs w:val="24"/>
        </w:rPr>
      </w:pPr>
      <w:r w:rsidRPr="006A23A3">
        <w:rPr>
          <w:rFonts w:ascii="Times New Roman" w:hAnsi="Times New Roman" w:cs="Times New Roman"/>
          <w:sz w:val="24"/>
          <w:szCs w:val="24"/>
        </w:rPr>
        <w:t>Con los resultados obtenidos se han elaborado una serie de figuras que visualizan el fenómeno del envejecimiento</w:t>
      </w:r>
      <w:r w:rsidR="0066049F">
        <w:rPr>
          <w:rFonts w:ascii="Times New Roman" w:hAnsi="Times New Roman" w:cs="Times New Roman"/>
          <w:sz w:val="24"/>
          <w:szCs w:val="24"/>
        </w:rPr>
        <w:t>,</w:t>
      </w:r>
      <w:r w:rsidRPr="006A23A3">
        <w:rPr>
          <w:rFonts w:ascii="Times New Roman" w:hAnsi="Times New Roman" w:cs="Times New Roman"/>
          <w:sz w:val="24"/>
          <w:szCs w:val="24"/>
        </w:rPr>
        <w:t xml:space="preserve"> tanto para el conjunto de la población regional como para cada uno de los municipios. </w:t>
      </w:r>
    </w:p>
    <w:p w:rsidR="006A23A3" w:rsidRDefault="006A23A3" w:rsidP="006A23A3">
      <w:pPr>
        <w:jc w:val="both"/>
        <w:rPr>
          <w:rFonts w:ascii="Times New Roman" w:hAnsi="Times New Roman" w:cs="Times New Roman"/>
          <w:b/>
          <w:sz w:val="24"/>
          <w:szCs w:val="24"/>
        </w:rPr>
      </w:pPr>
    </w:p>
    <w:p w:rsidR="00675EA6" w:rsidRPr="00675EA6" w:rsidRDefault="008F4B60" w:rsidP="00675EA6">
      <w:pPr>
        <w:pStyle w:val="Ttulo1"/>
        <w:spacing w:before="0" w:line="240" w:lineRule="auto"/>
        <w:jc w:val="both"/>
        <w:rPr>
          <w:rFonts w:ascii="Times New Roman" w:hAnsi="Times New Roman" w:cs="Times New Roman"/>
          <w:color w:val="auto"/>
          <w:sz w:val="24"/>
          <w:szCs w:val="24"/>
        </w:rPr>
      </w:pPr>
      <w:bookmarkStart w:id="7" w:name="_Toc388558089"/>
      <w:r w:rsidRPr="00675EA6">
        <w:rPr>
          <w:rFonts w:ascii="Times New Roman" w:hAnsi="Times New Roman" w:cs="Times New Roman"/>
          <w:color w:val="auto"/>
          <w:sz w:val="24"/>
          <w:szCs w:val="24"/>
        </w:rPr>
        <w:t>3. ESTRUCTURA Y DINÁMICA DE LA POBLACIÓN</w:t>
      </w:r>
      <w:bookmarkEnd w:id="7"/>
    </w:p>
    <w:p w:rsidR="00675EA6" w:rsidRPr="00675EA6" w:rsidRDefault="00675EA6" w:rsidP="00675EA6">
      <w:pPr>
        <w:jc w:val="both"/>
        <w:rPr>
          <w:rFonts w:ascii="Times New Roman" w:hAnsi="Times New Roman" w:cs="Times New Roman"/>
          <w:sz w:val="24"/>
          <w:szCs w:val="24"/>
        </w:rPr>
      </w:pPr>
    </w:p>
    <w:p w:rsidR="00675EA6" w:rsidRPr="00675EA6" w:rsidRDefault="00675EA6" w:rsidP="00210056">
      <w:pPr>
        <w:spacing w:line="360" w:lineRule="auto"/>
        <w:ind w:firstLine="284"/>
        <w:jc w:val="both"/>
        <w:rPr>
          <w:rFonts w:ascii="Times New Roman" w:hAnsi="Times New Roman" w:cs="Times New Roman"/>
          <w:sz w:val="24"/>
          <w:szCs w:val="24"/>
        </w:rPr>
      </w:pPr>
      <w:r w:rsidRPr="00675EA6">
        <w:rPr>
          <w:rFonts w:ascii="Times New Roman" w:hAnsi="Times New Roman" w:cs="Times New Roman"/>
          <w:sz w:val="24"/>
          <w:szCs w:val="24"/>
        </w:rPr>
        <w:t xml:space="preserve">La Región de Murcia, al igual que las demás regiones del conjunto español, se ha caracterizado en los últimos años por poseer un movimiento natural de la población débil, determinado por una reducida </w:t>
      </w:r>
      <w:r w:rsidR="009F3012">
        <w:rPr>
          <w:rFonts w:ascii="Times New Roman" w:hAnsi="Times New Roman" w:cs="Times New Roman"/>
          <w:sz w:val="24"/>
          <w:szCs w:val="24"/>
        </w:rPr>
        <w:t xml:space="preserve">tasa de </w:t>
      </w:r>
      <w:r w:rsidRPr="00675EA6">
        <w:rPr>
          <w:rFonts w:ascii="Times New Roman" w:hAnsi="Times New Roman" w:cs="Times New Roman"/>
          <w:sz w:val="24"/>
          <w:szCs w:val="24"/>
        </w:rPr>
        <w:t xml:space="preserve">natalidad y una tasa de mortalidad casi estancada, lo que </w:t>
      </w:r>
      <w:r w:rsidRPr="00675EA6">
        <w:rPr>
          <w:rFonts w:ascii="Times New Roman" w:hAnsi="Times New Roman" w:cs="Times New Roman"/>
          <w:bCs/>
          <w:sz w:val="24"/>
          <w:szCs w:val="24"/>
        </w:rPr>
        <w:t>da lugar a un mayor número de supervivientes con edades superiores a los 65 años y menos jóvenes</w:t>
      </w:r>
      <w:r w:rsidR="009F3012">
        <w:rPr>
          <w:rFonts w:ascii="Times New Roman" w:hAnsi="Times New Roman" w:cs="Times New Roman"/>
          <w:sz w:val="24"/>
          <w:szCs w:val="24"/>
        </w:rPr>
        <w:t>.</w:t>
      </w:r>
      <w:r w:rsidRPr="00675EA6">
        <w:rPr>
          <w:rFonts w:ascii="Times New Roman" w:hAnsi="Times New Roman" w:cs="Times New Roman"/>
          <w:sz w:val="24"/>
          <w:szCs w:val="24"/>
        </w:rPr>
        <w:t xml:space="preserve"> </w:t>
      </w:r>
      <w:r w:rsidR="009F3012">
        <w:rPr>
          <w:rFonts w:ascii="Times New Roman" w:hAnsi="Times New Roman" w:cs="Times New Roman"/>
          <w:sz w:val="24"/>
          <w:szCs w:val="24"/>
        </w:rPr>
        <w:t>E</w:t>
      </w:r>
      <w:r>
        <w:rPr>
          <w:rFonts w:ascii="Times New Roman" w:hAnsi="Times New Roman" w:cs="Times New Roman"/>
          <w:sz w:val="24"/>
          <w:szCs w:val="24"/>
        </w:rPr>
        <w:t>ste proceso</w:t>
      </w:r>
      <w:r w:rsidR="009F3012">
        <w:rPr>
          <w:rFonts w:ascii="Times New Roman" w:hAnsi="Times New Roman" w:cs="Times New Roman"/>
          <w:sz w:val="24"/>
          <w:szCs w:val="24"/>
        </w:rPr>
        <w:t xml:space="preserve"> se ha fortalecido</w:t>
      </w:r>
      <w:r>
        <w:rPr>
          <w:rFonts w:ascii="Times New Roman" w:hAnsi="Times New Roman" w:cs="Times New Roman"/>
          <w:sz w:val="24"/>
          <w:szCs w:val="24"/>
        </w:rPr>
        <w:t xml:space="preserve"> </w:t>
      </w:r>
      <w:r w:rsidRPr="00675EA6">
        <w:rPr>
          <w:rFonts w:ascii="Times New Roman" w:hAnsi="Times New Roman" w:cs="Times New Roman"/>
          <w:sz w:val="24"/>
          <w:szCs w:val="24"/>
        </w:rPr>
        <w:t>por el alargamiento de la edad media de vida (</w:t>
      </w:r>
      <w:r w:rsidR="00077DD7" w:rsidRPr="00675EA6">
        <w:rPr>
          <w:rFonts w:ascii="Times New Roman" w:hAnsi="Times New Roman" w:cs="Times New Roman"/>
          <w:bCs/>
          <w:sz w:val="24"/>
          <w:szCs w:val="24"/>
        </w:rPr>
        <w:t xml:space="preserve">CHASCO YRIGOYEN </w:t>
      </w:r>
      <w:r w:rsidR="00223CFA">
        <w:rPr>
          <w:rFonts w:ascii="Times New Roman" w:hAnsi="Times New Roman" w:cs="Times New Roman"/>
          <w:bCs/>
          <w:sz w:val="24"/>
          <w:szCs w:val="24"/>
        </w:rPr>
        <w:t>y</w:t>
      </w:r>
      <w:r w:rsidR="00077DD7" w:rsidRPr="00675EA6">
        <w:rPr>
          <w:rFonts w:ascii="Times New Roman" w:hAnsi="Times New Roman" w:cs="Times New Roman"/>
          <w:bCs/>
          <w:sz w:val="24"/>
          <w:szCs w:val="24"/>
        </w:rPr>
        <w:t xml:space="preserve"> HERNÁNDEZ ASENSIO</w:t>
      </w:r>
      <w:r w:rsidRPr="00675EA6">
        <w:rPr>
          <w:rFonts w:ascii="Times New Roman" w:hAnsi="Times New Roman" w:cs="Times New Roman"/>
          <w:bCs/>
          <w:sz w:val="24"/>
          <w:szCs w:val="24"/>
        </w:rPr>
        <w:t>, 2004;</w:t>
      </w:r>
      <w:r w:rsidRPr="00675EA6">
        <w:rPr>
          <w:rFonts w:ascii="Times New Roman" w:hAnsi="Times New Roman" w:cs="Times New Roman"/>
          <w:sz w:val="24"/>
          <w:szCs w:val="24"/>
        </w:rPr>
        <w:t xml:space="preserve"> </w:t>
      </w:r>
      <w:r w:rsidR="00077DD7" w:rsidRPr="00675EA6">
        <w:rPr>
          <w:rFonts w:ascii="Times New Roman" w:hAnsi="Times New Roman" w:cs="Times New Roman"/>
          <w:sz w:val="24"/>
          <w:szCs w:val="24"/>
        </w:rPr>
        <w:t xml:space="preserve">SERRANO MARTÍNEZ </w:t>
      </w:r>
      <w:r w:rsidR="00223CFA">
        <w:rPr>
          <w:rFonts w:ascii="Times New Roman" w:hAnsi="Times New Roman" w:cs="Times New Roman"/>
          <w:sz w:val="24"/>
          <w:szCs w:val="24"/>
        </w:rPr>
        <w:t>y</w:t>
      </w:r>
      <w:r w:rsidR="00077DD7" w:rsidRPr="00675EA6">
        <w:rPr>
          <w:rFonts w:ascii="Times New Roman" w:hAnsi="Times New Roman" w:cs="Times New Roman"/>
          <w:sz w:val="24"/>
          <w:szCs w:val="24"/>
        </w:rPr>
        <w:t xml:space="preserve"> GARCÍA MARÍN</w:t>
      </w:r>
      <w:r w:rsidRPr="00675EA6">
        <w:rPr>
          <w:rFonts w:ascii="Times New Roman" w:hAnsi="Times New Roman" w:cs="Times New Roman"/>
          <w:sz w:val="24"/>
          <w:szCs w:val="24"/>
        </w:rPr>
        <w:t>, 2013</w:t>
      </w:r>
      <w:r w:rsidRPr="00675EA6">
        <w:rPr>
          <w:rFonts w:ascii="Times New Roman" w:hAnsi="Times New Roman" w:cs="Times New Roman"/>
          <w:bCs/>
          <w:sz w:val="24"/>
          <w:szCs w:val="24"/>
        </w:rPr>
        <w:t xml:space="preserve">). </w:t>
      </w:r>
      <w:r w:rsidRPr="00675EA6">
        <w:rPr>
          <w:rFonts w:ascii="Times New Roman" w:hAnsi="Times New Roman" w:cs="Times New Roman"/>
          <w:sz w:val="24"/>
          <w:szCs w:val="24"/>
        </w:rPr>
        <w:t>Asimismo, este envejecimiento de la población también está ocasionando unas altas tasas de dependencia o envejecimiento económico.</w:t>
      </w:r>
    </w:p>
    <w:p w:rsidR="00800465" w:rsidRPr="00800465" w:rsidRDefault="00675EA6" w:rsidP="00800465">
      <w:pPr>
        <w:spacing w:line="360" w:lineRule="auto"/>
        <w:ind w:firstLine="284"/>
        <w:jc w:val="both"/>
        <w:rPr>
          <w:rFonts w:ascii="Times New Roman" w:hAnsi="Times New Roman" w:cs="Times New Roman"/>
          <w:bCs/>
          <w:sz w:val="24"/>
          <w:szCs w:val="24"/>
        </w:rPr>
      </w:pPr>
      <w:r w:rsidRPr="00675EA6">
        <w:rPr>
          <w:rFonts w:ascii="Times New Roman" w:hAnsi="Times New Roman" w:cs="Times New Roman"/>
          <w:sz w:val="24"/>
          <w:szCs w:val="24"/>
        </w:rPr>
        <w:t>En las últimas décadas, la estructura por edades de la población murciana se ha alter</w:t>
      </w:r>
      <w:r>
        <w:rPr>
          <w:rFonts w:ascii="Times New Roman" w:hAnsi="Times New Roman" w:cs="Times New Roman"/>
          <w:sz w:val="24"/>
          <w:szCs w:val="24"/>
        </w:rPr>
        <w:t>ado, cambiando su distribución;</w:t>
      </w:r>
      <w:r w:rsidRPr="00675EA6">
        <w:rPr>
          <w:rFonts w:ascii="Times New Roman" w:hAnsi="Times New Roman" w:cs="Times New Roman"/>
          <w:sz w:val="24"/>
          <w:szCs w:val="24"/>
        </w:rPr>
        <w:t xml:space="preserve"> se ha acelerado el crecimiento progres</w:t>
      </w:r>
      <w:r>
        <w:rPr>
          <w:rFonts w:ascii="Times New Roman" w:hAnsi="Times New Roman" w:cs="Times New Roman"/>
          <w:sz w:val="24"/>
          <w:szCs w:val="24"/>
        </w:rPr>
        <w:t>ivo de las personas mayores y</w:t>
      </w:r>
      <w:r w:rsidRPr="00675EA6">
        <w:rPr>
          <w:rFonts w:ascii="Times New Roman" w:hAnsi="Times New Roman" w:cs="Times New Roman"/>
          <w:sz w:val="24"/>
          <w:szCs w:val="24"/>
        </w:rPr>
        <w:t xml:space="preserve"> ha disminuido la proporción de jóvenes (</w:t>
      </w:r>
      <w:r w:rsidR="00223CFA">
        <w:rPr>
          <w:rFonts w:ascii="Times New Roman" w:hAnsi="Times New Roman" w:cs="Times New Roman"/>
          <w:sz w:val="24"/>
          <w:szCs w:val="24"/>
        </w:rPr>
        <w:t>Tabla</w:t>
      </w:r>
      <w:r w:rsidRPr="00675EA6">
        <w:rPr>
          <w:rFonts w:ascii="Times New Roman" w:hAnsi="Times New Roman" w:cs="Times New Roman"/>
          <w:sz w:val="24"/>
          <w:szCs w:val="24"/>
        </w:rPr>
        <w:t xml:space="preserve"> 1).</w:t>
      </w:r>
      <w:r w:rsidR="00931351">
        <w:rPr>
          <w:rFonts w:ascii="Times New Roman" w:hAnsi="Times New Roman" w:cs="Times New Roman"/>
          <w:sz w:val="24"/>
          <w:szCs w:val="24"/>
        </w:rPr>
        <w:t xml:space="preserve"> </w:t>
      </w:r>
      <w:commentRangeStart w:id="8"/>
      <w:r w:rsidR="00931351">
        <w:rPr>
          <w:rFonts w:ascii="Times New Roman" w:hAnsi="Times New Roman" w:cs="Times New Roman"/>
          <w:sz w:val="24"/>
          <w:szCs w:val="24"/>
        </w:rPr>
        <w:t>Este proceso es similar en otras comunid</w:t>
      </w:r>
      <w:r w:rsidR="00800465">
        <w:rPr>
          <w:rFonts w:ascii="Times New Roman" w:hAnsi="Times New Roman" w:cs="Times New Roman"/>
          <w:sz w:val="24"/>
          <w:szCs w:val="24"/>
        </w:rPr>
        <w:t xml:space="preserve">ades autónomas </w:t>
      </w:r>
      <w:r w:rsidR="00800465" w:rsidRPr="00800465">
        <w:rPr>
          <w:rFonts w:ascii="Times New Roman" w:hAnsi="Times New Roman" w:cs="Times New Roman"/>
          <w:sz w:val="24"/>
          <w:szCs w:val="24"/>
        </w:rPr>
        <w:t>(PÉREZ DÍAZ y LECO BERROCAL, 2011; VIDAL DOMÍNGUEZ y FERNÁNDEZ PORTELA, 2014; RUBIERA, 2014).</w:t>
      </w:r>
      <w:commentRangeEnd w:id="8"/>
      <w:r w:rsidR="00B24A6A">
        <w:rPr>
          <w:rStyle w:val="Refdecomentario"/>
        </w:rPr>
        <w:commentReference w:id="8"/>
      </w:r>
    </w:p>
    <w:p w:rsidR="009F3012" w:rsidRDefault="009F3012" w:rsidP="009F3012">
      <w:pPr>
        <w:spacing w:line="360" w:lineRule="auto"/>
        <w:ind w:firstLine="284"/>
        <w:jc w:val="both"/>
        <w:rPr>
          <w:rFonts w:ascii="Times New Roman" w:hAnsi="Times New Roman" w:cs="Times New Roman"/>
          <w:sz w:val="24"/>
          <w:szCs w:val="24"/>
        </w:rPr>
      </w:pPr>
      <w:r w:rsidRPr="00675EA6">
        <w:rPr>
          <w:rFonts w:ascii="Times New Roman" w:hAnsi="Times New Roman" w:cs="Times New Roman"/>
          <w:sz w:val="24"/>
          <w:szCs w:val="24"/>
        </w:rPr>
        <w:t>La caída de la natalidad, fecundidad y mortalidad han ocasionado esta nueva estructura por edades, donde la población joven ha dismin</w:t>
      </w:r>
      <w:r>
        <w:rPr>
          <w:rFonts w:ascii="Times New Roman" w:hAnsi="Times New Roman" w:cs="Times New Roman"/>
          <w:sz w:val="24"/>
          <w:szCs w:val="24"/>
        </w:rPr>
        <w:t>uido drásticamente, bajando 6,1</w:t>
      </w:r>
      <w:r w:rsidRPr="00675EA6">
        <w:rPr>
          <w:rFonts w:ascii="Times New Roman" w:hAnsi="Times New Roman" w:cs="Times New Roman"/>
          <w:sz w:val="24"/>
          <w:szCs w:val="24"/>
        </w:rPr>
        <w:t xml:space="preserve"> puntos porcentuales desde 1991 hasta 201</w:t>
      </w:r>
      <w:r>
        <w:rPr>
          <w:rFonts w:ascii="Times New Roman" w:hAnsi="Times New Roman" w:cs="Times New Roman"/>
          <w:sz w:val="24"/>
          <w:szCs w:val="24"/>
        </w:rPr>
        <w:t>4</w:t>
      </w:r>
      <w:r w:rsidRPr="00675EA6">
        <w:rPr>
          <w:rFonts w:ascii="Times New Roman" w:hAnsi="Times New Roman" w:cs="Times New Roman"/>
          <w:sz w:val="24"/>
          <w:szCs w:val="24"/>
        </w:rPr>
        <w:t xml:space="preserve">, </w:t>
      </w:r>
      <w:r>
        <w:rPr>
          <w:rFonts w:ascii="Times New Roman" w:hAnsi="Times New Roman" w:cs="Times New Roman"/>
          <w:sz w:val="24"/>
          <w:szCs w:val="24"/>
        </w:rPr>
        <w:t xml:space="preserve">mientras que </w:t>
      </w:r>
      <w:r w:rsidRPr="00675EA6">
        <w:rPr>
          <w:rFonts w:ascii="Times New Roman" w:hAnsi="Times New Roman" w:cs="Times New Roman"/>
          <w:sz w:val="24"/>
          <w:szCs w:val="24"/>
        </w:rPr>
        <w:t>la población anciana ha aumentado 4,</w:t>
      </w:r>
      <w:r>
        <w:rPr>
          <w:rFonts w:ascii="Times New Roman" w:hAnsi="Times New Roman" w:cs="Times New Roman"/>
          <w:sz w:val="24"/>
          <w:szCs w:val="24"/>
        </w:rPr>
        <w:t>66</w:t>
      </w:r>
      <w:r w:rsidRPr="00675EA6">
        <w:rPr>
          <w:rFonts w:ascii="Times New Roman" w:hAnsi="Times New Roman" w:cs="Times New Roman"/>
          <w:sz w:val="24"/>
          <w:szCs w:val="24"/>
        </w:rPr>
        <w:t xml:space="preserve"> puntos </w:t>
      </w:r>
      <w:r>
        <w:rPr>
          <w:rFonts w:ascii="Times New Roman" w:hAnsi="Times New Roman" w:cs="Times New Roman"/>
          <w:sz w:val="24"/>
          <w:szCs w:val="24"/>
        </w:rPr>
        <w:t xml:space="preserve">porcentuales </w:t>
      </w:r>
      <w:r w:rsidRPr="00675EA6">
        <w:rPr>
          <w:rFonts w:ascii="Times New Roman" w:hAnsi="Times New Roman" w:cs="Times New Roman"/>
          <w:sz w:val="24"/>
          <w:szCs w:val="24"/>
        </w:rPr>
        <w:t xml:space="preserve">durante el mismo periodo. De manera complementaria, el amplio grupo intermedio apenas modifica sus porcentajes. En </w:t>
      </w:r>
      <w:r w:rsidRPr="00675EA6">
        <w:rPr>
          <w:rFonts w:ascii="Times New Roman" w:hAnsi="Times New Roman" w:cs="Times New Roman"/>
          <w:sz w:val="24"/>
          <w:szCs w:val="24"/>
        </w:rPr>
        <w:lastRenderedPageBreak/>
        <w:t>cuanto a la esperanza de vida al nacimiento para los hombres y mujeres en la Región de Murcia (Figura</w:t>
      </w:r>
      <w:r>
        <w:rPr>
          <w:rFonts w:ascii="Times New Roman" w:hAnsi="Times New Roman" w:cs="Times New Roman"/>
          <w:sz w:val="24"/>
          <w:szCs w:val="24"/>
        </w:rPr>
        <w:t xml:space="preserve"> 2)</w:t>
      </w:r>
      <w:r w:rsidRPr="00675EA6">
        <w:rPr>
          <w:rFonts w:ascii="Times New Roman" w:hAnsi="Times New Roman" w:cs="Times New Roman"/>
          <w:sz w:val="24"/>
          <w:szCs w:val="24"/>
        </w:rPr>
        <w:t xml:space="preserve"> se aprecia una ganancia de 5 años en tan sólo dos décadas. En 201</w:t>
      </w:r>
      <w:r>
        <w:rPr>
          <w:rFonts w:ascii="Times New Roman" w:hAnsi="Times New Roman" w:cs="Times New Roman"/>
          <w:sz w:val="24"/>
          <w:szCs w:val="24"/>
        </w:rPr>
        <w:t>3</w:t>
      </w:r>
      <w:r w:rsidRPr="00675EA6">
        <w:rPr>
          <w:rFonts w:ascii="Times New Roman" w:hAnsi="Times New Roman" w:cs="Times New Roman"/>
          <w:sz w:val="24"/>
          <w:szCs w:val="24"/>
        </w:rPr>
        <w:t xml:space="preserve"> los varones tienen una esperanza de vida </w:t>
      </w:r>
      <w:r>
        <w:rPr>
          <w:rFonts w:ascii="Times New Roman" w:hAnsi="Times New Roman" w:cs="Times New Roman"/>
          <w:sz w:val="24"/>
          <w:szCs w:val="24"/>
        </w:rPr>
        <w:t>cercana a</w:t>
      </w:r>
      <w:r w:rsidRPr="00675EA6">
        <w:rPr>
          <w:rFonts w:ascii="Times New Roman" w:hAnsi="Times New Roman" w:cs="Times New Roman"/>
          <w:sz w:val="24"/>
          <w:szCs w:val="24"/>
        </w:rPr>
        <w:t xml:space="preserve"> </w:t>
      </w:r>
      <w:r>
        <w:rPr>
          <w:rFonts w:ascii="Times New Roman" w:hAnsi="Times New Roman" w:cs="Times New Roman"/>
          <w:sz w:val="24"/>
          <w:szCs w:val="24"/>
        </w:rPr>
        <w:t>80</w:t>
      </w:r>
      <w:r w:rsidRPr="00675EA6">
        <w:rPr>
          <w:rFonts w:ascii="Times New Roman" w:hAnsi="Times New Roman" w:cs="Times New Roman"/>
          <w:sz w:val="24"/>
          <w:szCs w:val="24"/>
        </w:rPr>
        <w:t xml:space="preserve"> años y las mujeres </w:t>
      </w:r>
      <w:r>
        <w:rPr>
          <w:rFonts w:ascii="Times New Roman" w:hAnsi="Times New Roman" w:cs="Times New Roman"/>
          <w:sz w:val="24"/>
          <w:szCs w:val="24"/>
        </w:rPr>
        <w:t>cercana a 85</w:t>
      </w:r>
      <w:r w:rsidRPr="00675EA6">
        <w:rPr>
          <w:rFonts w:ascii="Times New Roman" w:hAnsi="Times New Roman" w:cs="Times New Roman"/>
          <w:sz w:val="24"/>
          <w:szCs w:val="24"/>
        </w:rPr>
        <w:t>.</w:t>
      </w:r>
    </w:p>
    <w:p w:rsidR="009F3012" w:rsidRPr="00AC6953" w:rsidRDefault="009F3012" w:rsidP="00675EA6">
      <w:pPr>
        <w:jc w:val="both"/>
        <w:rPr>
          <w:rFonts w:ascii="Times New Roman" w:hAnsi="Times New Roman" w:cs="Times New Roman"/>
          <w:sz w:val="24"/>
          <w:szCs w:val="24"/>
        </w:rPr>
      </w:pPr>
    </w:p>
    <w:p w:rsidR="00897938" w:rsidRDefault="00897938" w:rsidP="00897938">
      <w:pPr>
        <w:jc w:val="center"/>
        <w:rPr>
          <w:rFonts w:ascii="Times New Roman" w:hAnsi="Times New Roman" w:cs="Times New Roman"/>
          <w:bCs/>
          <w:sz w:val="24"/>
          <w:szCs w:val="24"/>
        </w:rPr>
      </w:pPr>
      <w:commentRangeStart w:id="9"/>
      <w:r>
        <w:rPr>
          <w:rFonts w:ascii="Times New Roman" w:hAnsi="Times New Roman" w:cs="Times New Roman"/>
          <w:bCs/>
          <w:sz w:val="24"/>
          <w:szCs w:val="24"/>
        </w:rPr>
        <w:t>TABLA 1</w:t>
      </w:r>
    </w:p>
    <w:p w:rsidR="00675EA6" w:rsidRPr="00675EA6" w:rsidRDefault="00675EA6" w:rsidP="00897938">
      <w:pPr>
        <w:jc w:val="center"/>
        <w:rPr>
          <w:rFonts w:ascii="Times New Roman" w:hAnsi="Times New Roman" w:cs="Times New Roman"/>
          <w:bCs/>
          <w:sz w:val="24"/>
          <w:szCs w:val="24"/>
        </w:rPr>
      </w:pPr>
      <w:r w:rsidRPr="00675EA6">
        <w:rPr>
          <w:rFonts w:ascii="Times New Roman" w:hAnsi="Times New Roman" w:cs="Times New Roman"/>
          <w:bCs/>
          <w:sz w:val="24"/>
          <w:szCs w:val="24"/>
        </w:rPr>
        <w:t xml:space="preserve"> Evolución de la estructura de la población resid</w:t>
      </w:r>
      <w:r w:rsidR="00897938">
        <w:rPr>
          <w:rFonts w:ascii="Times New Roman" w:hAnsi="Times New Roman" w:cs="Times New Roman"/>
          <w:bCs/>
          <w:sz w:val="24"/>
          <w:szCs w:val="24"/>
        </w:rPr>
        <w:t xml:space="preserve">ente en la Región de Murcia por </w:t>
      </w:r>
      <w:r w:rsidRPr="00675EA6">
        <w:rPr>
          <w:rFonts w:ascii="Times New Roman" w:hAnsi="Times New Roman" w:cs="Times New Roman"/>
          <w:bCs/>
          <w:sz w:val="24"/>
          <w:szCs w:val="24"/>
        </w:rPr>
        <w:t>grandes grupos de edad</w:t>
      </w:r>
      <w:r w:rsidR="00223CFA">
        <w:rPr>
          <w:rFonts w:ascii="Times New Roman" w:hAnsi="Times New Roman" w:cs="Times New Roman"/>
          <w:noProof/>
          <w:sz w:val="24"/>
          <w:szCs w:val="24"/>
        </w:rPr>
        <w:t xml:space="preserve">, para el periodo comprendido entre </w:t>
      </w:r>
      <w:r w:rsidR="00183BCF">
        <w:rPr>
          <w:rFonts w:ascii="Times New Roman" w:hAnsi="Times New Roman" w:cs="Times New Roman"/>
          <w:bCs/>
          <w:sz w:val="24"/>
          <w:szCs w:val="24"/>
        </w:rPr>
        <w:t>1991-2014</w:t>
      </w:r>
      <w:r w:rsidR="00223CFA">
        <w:rPr>
          <w:rFonts w:ascii="Times New Roman" w:hAnsi="Times New Roman" w:cs="Times New Roman"/>
          <w:bCs/>
          <w:sz w:val="24"/>
          <w:szCs w:val="24"/>
        </w:rPr>
        <w:t xml:space="preserve"> </w:t>
      </w:r>
      <w:r w:rsidR="00223CFA" w:rsidRPr="00223CFA">
        <w:rPr>
          <w:rFonts w:ascii="Times New Roman" w:hAnsi="Times New Roman" w:cs="Times New Roman"/>
          <w:bCs/>
          <w:sz w:val="24"/>
          <w:szCs w:val="24"/>
        </w:rPr>
        <w:t>(%)</w:t>
      </w:r>
    </w:p>
    <w:commentRangeEnd w:id="9"/>
    <w:p w:rsidR="00675EA6" w:rsidRPr="00AC6953" w:rsidRDefault="00183BCF" w:rsidP="00AC6953">
      <w:pPr>
        <w:jc w:val="both"/>
        <w:rPr>
          <w:rFonts w:ascii="Times New Roman" w:hAnsi="Times New Roman" w:cs="Times New Roman"/>
          <w:bCs/>
          <w:sz w:val="12"/>
          <w:szCs w:val="12"/>
        </w:rPr>
      </w:pPr>
      <w:r>
        <w:rPr>
          <w:rStyle w:val="Refdecomentario"/>
        </w:rPr>
        <w:commentReference w:id="9"/>
      </w:r>
    </w:p>
    <w:tbl>
      <w:tblPr>
        <w:tblStyle w:val="Sombreadoclaro1"/>
        <w:tblW w:w="5935" w:type="dxa"/>
        <w:jc w:val="center"/>
        <w:tblLook w:val="04A0"/>
      </w:tblPr>
      <w:tblGrid>
        <w:gridCol w:w="1200"/>
        <w:gridCol w:w="1485"/>
        <w:gridCol w:w="1418"/>
        <w:gridCol w:w="1832"/>
      </w:tblGrid>
      <w:tr w:rsidR="00675EA6" w:rsidRPr="00210056" w:rsidTr="00695938">
        <w:trPr>
          <w:cnfStyle w:val="100000000000"/>
          <w:trHeight w:val="255"/>
          <w:jc w:val="center"/>
        </w:trPr>
        <w:tc>
          <w:tcPr>
            <w:cnfStyle w:val="001000000000"/>
            <w:tcW w:w="1200" w:type="dxa"/>
            <w:noWrap/>
            <w:hideMark/>
          </w:tcPr>
          <w:p w:rsidR="00675EA6" w:rsidRPr="00210056" w:rsidRDefault="00675EA6" w:rsidP="00496765">
            <w:pPr>
              <w:jc w:val="center"/>
              <w:rPr>
                <w:rFonts w:ascii="Times New Roman" w:eastAsia="Times New Roman" w:hAnsi="Times New Roman" w:cs="Times New Roman"/>
                <w:sz w:val="20"/>
                <w:szCs w:val="20"/>
              </w:rPr>
            </w:pPr>
          </w:p>
        </w:tc>
        <w:tc>
          <w:tcPr>
            <w:tcW w:w="1485" w:type="dxa"/>
            <w:noWrap/>
            <w:hideMark/>
          </w:tcPr>
          <w:p w:rsidR="00675EA6" w:rsidRPr="00210056" w:rsidRDefault="00675EA6" w:rsidP="00496765">
            <w:pPr>
              <w:jc w:val="center"/>
              <w:cnfStyle w:val="100000000000"/>
              <w:rPr>
                <w:rFonts w:ascii="Times New Roman" w:eastAsia="Times New Roman" w:hAnsi="Times New Roman" w:cs="Times New Roman"/>
                <w:sz w:val="20"/>
                <w:szCs w:val="20"/>
              </w:rPr>
            </w:pPr>
            <w:r w:rsidRPr="00210056">
              <w:rPr>
                <w:rFonts w:ascii="Times New Roman" w:eastAsia="Times New Roman" w:hAnsi="Times New Roman" w:cs="Times New Roman"/>
                <w:sz w:val="20"/>
                <w:szCs w:val="20"/>
              </w:rPr>
              <w:t>0-14 años</w:t>
            </w:r>
          </w:p>
        </w:tc>
        <w:tc>
          <w:tcPr>
            <w:tcW w:w="1418" w:type="dxa"/>
            <w:noWrap/>
            <w:hideMark/>
          </w:tcPr>
          <w:p w:rsidR="00675EA6" w:rsidRPr="00210056" w:rsidRDefault="00675EA6" w:rsidP="00496765">
            <w:pPr>
              <w:jc w:val="center"/>
              <w:cnfStyle w:val="100000000000"/>
              <w:rPr>
                <w:rFonts w:ascii="Times New Roman" w:eastAsia="Times New Roman" w:hAnsi="Times New Roman" w:cs="Times New Roman"/>
                <w:sz w:val="20"/>
                <w:szCs w:val="20"/>
              </w:rPr>
            </w:pPr>
            <w:r w:rsidRPr="00210056">
              <w:rPr>
                <w:rFonts w:ascii="Times New Roman" w:eastAsia="Times New Roman" w:hAnsi="Times New Roman" w:cs="Times New Roman"/>
                <w:sz w:val="20"/>
                <w:szCs w:val="20"/>
              </w:rPr>
              <w:t>15-64 años</w:t>
            </w:r>
          </w:p>
        </w:tc>
        <w:tc>
          <w:tcPr>
            <w:tcW w:w="1832" w:type="dxa"/>
            <w:noWrap/>
            <w:hideMark/>
          </w:tcPr>
          <w:p w:rsidR="00675EA6" w:rsidRPr="00210056" w:rsidRDefault="00675EA6" w:rsidP="00496765">
            <w:pPr>
              <w:jc w:val="center"/>
              <w:cnfStyle w:val="100000000000"/>
              <w:rPr>
                <w:rFonts w:ascii="Times New Roman" w:eastAsia="Times New Roman" w:hAnsi="Times New Roman" w:cs="Times New Roman"/>
                <w:sz w:val="20"/>
                <w:szCs w:val="20"/>
              </w:rPr>
            </w:pPr>
            <w:r w:rsidRPr="00210056">
              <w:rPr>
                <w:rFonts w:ascii="Times New Roman" w:eastAsia="Times New Roman" w:hAnsi="Times New Roman" w:cs="Times New Roman"/>
                <w:sz w:val="20"/>
                <w:szCs w:val="20"/>
              </w:rPr>
              <w:t>65 y más años</w:t>
            </w:r>
          </w:p>
        </w:tc>
      </w:tr>
      <w:tr w:rsidR="00675EA6" w:rsidRPr="00210056" w:rsidTr="00695938">
        <w:trPr>
          <w:cnfStyle w:val="000000100000"/>
          <w:trHeight w:val="255"/>
          <w:jc w:val="center"/>
        </w:trPr>
        <w:tc>
          <w:tcPr>
            <w:cnfStyle w:val="001000000000"/>
            <w:tcW w:w="1200" w:type="dxa"/>
            <w:noWrap/>
            <w:hideMark/>
          </w:tcPr>
          <w:p w:rsidR="00675EA6" w:rsidRPr="00210056" w:rsidRDefault="00675EA6" w:rsidP="00496765">
            <w:pPr>
              <w:jc w:val="center"/>
              <w:rPr>
                <w:rFonts w:ascii="Times New Roman" w:eastAsia="Times New Roman" w:hAnsi="Times New Roman" w:cs="Times New Roman"/>
                <w:sz w:val="20"/>
                <w:szCs w:val="20"/>
              </w:rPr>
            </w:pPr>
            <w:r w:rsidRPr="00210056">
              <w:rPr>
                <w:rFonts w:ascii="Times New Roman" w:eastAsia="Times New Roman" w:hAnsi="Times New Roman" w:cs="Times New Roman"/>
                <w:sz w:val="20"/>
                <w:szCs w:val="20"/>
              </w:rPr>
              <w:t>1991</w:t>
            </w:r>
          </w:p>
        </w:tc>
        <w:tc>
          <w:tcPr>
            <w:tcW w:w="1485" w:type="dxa"/>
            <w:noWrap/>
            <w:hideMark/>
          </w:tcPr>
          <w:p w:rsidR="00675EA6" w:rsidRPr="00210056" w:rsidRDefault="00675EA6" w:rsidP="00496765">
            <w:pPr>
              <w:jc w:val="center"/>
              <w:cnfStyle w:val="000000100000"/>
              <w:rPr>
                <w:rFonts w:ascii="Times New Roman" w:eastAsia="Times New Roman" w:hAnsi="Times New Roman" w:cs="Times New Roman"/>
                <w:sz w:val="20"/>
                <w:szCs w:val="20"/>
              </w:rPr>
            </w:pPr>
            <w:r w:rsidRPr="00210056">
              <w:rPr>
                <w:rFonts w:ascii="Times New Roman" w:eastAsia="Times New Roman" w:hAnsi="Times New Roman" w:cs="Times New Roman"/>
                <w:sz w:val="20"/>
                <w:szCs w:val="20"/>
              </w:rPr>
              <w:t>23,81</w:t>
            </w:r>
          </w:p>
        </w:tc>
        <w:tc>
          <w:tcPr>
            <w:tcW w:w="1418" w:type="dxa"/>
            <w:noWrap/>
            <w:hideMark/>
          </w:tcPr>
          <w:p w:rsidR="00675EA6" w:rsidRPr="00210056" w:rsidRDefault="00675EA6" w:rsidP="00496765">
            <w:pPr>
              <w:jc w:val="center"/>
              <w:cnfStyle w:val="000000100000"/>
              <w:rPr>
                <w:rFonts w:ascii="Times New Roman" w:eastAsia="Times New Roman" w:hAnsi="Times New Roman" w:cs="Times New Roman"/>
                <w:sz w:val="20"/>
                <w:szCs w:val="20"/>
              </w:rPr>
            </w:pPr>
            <w:r w:rsidRPr="00210056">
              <w:rPr>
                <w:rFonts w:ascii="Times New Roman" w:eastAsia="Times New Roman" w:hAnsi="Times New Roman" w:cs="Times New Roman"/>
                <w:sz w:val="20"/>
                <w:szCs w:val="20"/>
              </w:rPr>
              <w:t>66,10</w:t>
            </w:r>
          </w:p>
        </w:tc>
        <w:tc>
          <w:tcPr>
            <w:tcW w:w="1832" w:type="dxa"/>
            <w:noWrap/>
            <w:hideMark/>
          </w:tcPr>
          <w:p w:rsidR="00675EA6" w:rsidRPr="00210056" w:rsidRDefault="00675EA6" w:rsidP="00496765">
            <w:pPr>
              <w:jc w:val="center"/>
              <w:cnfStyle w:val="000000100000"/>
              <w:rPr>
                <w:rFonts w:ascii="Times New Roman" w:eastAsia="Times New Roman" w:hAnsi="Times New Roman" w:cs="Times New Roman"/>
                <w:sz w:val="20"/>
                <w:szCs w:val="20"/>
              </w:rPr>
            </w:pPr>
            <w:r w:rsidRPr="00210056">
              <w:rPr>
                <w:rFonts w:ascii="Times New Roman" w:eastAsia="Times New Roman" w:hAnsi="Times New Roman" w:cs="Times New Roman"/>
                <w:sz w:val="20"/>
                <w:szCs w:val="20"/>
              </w:rPr>
              <w:t>10,09</w:t>
            </w:r>
          </w:p>
        </w:tc>
      </w:tr>
      <w:tr w:rsidR="00675EA6" w:rsidRPr="00210056" w:rsidTr="00695938">
        <w:trPr>
          <w:trHeight w:val="255"/>
          <w:jc w:val="center"/>
        </w:trPr>
        <w:tc>
          <w:tcPr>
            <w:cnfStyle w:val="001000000000"/>
            <w:tcW w:w="1200" w:type="dxa"/>
            <w:noWrap/>
            <w:hideMark/>
          </w:tcPr>
          <w:p w:rsidR="00675EA6" w:rsidRPr="00210056" w:rsidRDefault="00675EA6" w:rsidP="00496765">
            <w:pPr>
              <w:jc w:val="center"/>
              <w:rPr>
                <w:rFonts w:ascii="Times New Roman" w:eastAsia="Times New Roman" w:hAnsi="Times New Roman" w:cs="Times New Roman"/>
                <w:sz w:val="20"/>
                <w:szCs w:val="20"/>
              </w:rPr>
            </w:pPr>
            <w:r w:rsidRPr="00210056">
              <w:rPr>
                <w:rFonts w:ascii="Times New Roman" w:eastAsia="Times New Roman" w:hAnsi="Times New Roman" w:cs="Times New Roman"/>
                <w:sz w:val="20"/>
                <w:szCs w:val="20"/>
              </w:rPr>
              <w:t>1996</w:t>
            </w:r>
          </w:p>
        </w:tc>
        <w:tc>
          <w:tcPr>
            <w:tcW w:w="1485" w:type="dxa"/>
            <w:noWrap/>
            <w:hideMark/>
          </w:tcPr>
          <w:p w:rsidR="00675EA6" w:rsidRPr="00210056" w:rsidRDefault="00675EA6" w:rsidP="00496765">
            <w:pPr>
              <w:jc w:val="center"/>
              <w:cnfStyle w:val="000000000000"/>
              <w:rPr>
                <w:rFonts w:ascii="Times New Roman" w:eastAsia="Times New Roman" w:hAnsi="Times New Roman" w:cs="Times New Roman"/>
                <w:sz w:val="20"/>
                <w:szCs w:val="20"/>
              </w:rPr>
            </w:pPr>
            <w:r w:rsidRPr="00210056">
              <w:rPr>
                <w:rFonts w:ascii="Times New Roman" w:eastAsia="Times New Roman" w:hAnsi="Times New Roman" w:cs="Times New Roman"/>
                <w:sz w:val="20"/>
                <w:szCs w:val="20"/>
              </w:rPr>
              <w:t>19,97</w:t>
            </w:r>
          </w:p>
        </w:tc>
        <w:tc>
          <w:tcPr>
            <w:tcW w:w="1418" w:type="dxa"/>
            <w:noWrap/>
            <w:hideMark/>
          </w:tcPr>
          <w:p w:rsidR="00675EA6" w:rsidRPr="00210056" w:rsidRDefault="00675EA6" w:rsidP="00496765">
            <w:pPr>
              <w:jc w:val="center"/>
              <w:cnfStyle w:val="000000000000"/>
              <w:rPr>
                <w:rFonts w:ascii="Times New Roman" w:eastAsia="Times New Roman" w:hAnsi="Times New Roman" w:cs="Times New Roman"/>
                <w:sz w:val="20"/>
                <w:szCs w:val="20"/>
              </w:rPr>
            </w:pPr>
            <w:r w:rsidRPr="00210056">
              <w:rPr>
                <w:rFonts w:ascii="Times New Roman" w:eastAsia="Times New Roman" w:hAnsi="Times New Roman" w:cs="Times New Roman"/>
                <w:sz w:val="20"/>
                <w:szCs w:val="20"/>
              </w:rPr>
              <w:t>68,31</w:t>
            </w:r>
          </w:p>
        </w:tc>
        <w:tc>
          <w:tcPr>
            <w:tcW w:w="1832" w:type="dxa"/>
            <w:noWrap/>
            <w:hideMark/>
          </w:tcPr>
          <w:p w:rsidR="00675EA6" w:rsidRPr="00210056" w:rsidRDefault="00675EA6" w:rsidP="00496765">
            <w:pPr>
              <w:jc w:val="center"/>
              <w:cnfStyle w:val="000000000000"/>
              <w:rPr>
                <w:rFonts w:ascii="Times New Roman" w:eastAsia="Times New Roman" w:hAnsi="Times New Roman" w:cs="Times New Roman"/>
                <w:sz w:val="20"/>
                <w:szCs w:val="20"/>
              </w:rPr>
            </w:pPr>
            <w:r w:rsidRPr="00210056">
              <w:rPr>
                <w:rFonts w:ascii="Times New Roman" w:eastAsia="Times New Roman" w:hAnsi="Times New Roman" w:cs="Times New Roman"/>
                <w:sz w:val="20"/>
                <w:szCs w:val="20"/>
              </w:rPr>
              <w:t>11,72</w:t>
            </w:r>
          </w:p>
        </w:tc>
      </w:tr>
      <w:tr w:rsidR="00675EA6" w:rsidRPr="00210056" w:rsidTr="00695938">
        <w:trPr>
          <w:cnfStyle w:val="000000100000"/>
          <w:trHeight w:val="255"/>
          <w:jc w:val="center"/>
        </w:trPr>
        <w:tc>
          <w:tcPr>
            <w:cnfStyle w:val="001000000000"/>
            <w:tcW w:w="1200" w:type="dxa"/>
            <w:noWrap/>
            <w:hideMark/>
          </w:tcPr>
          <w:p w:rsidR="00675EA6" w:rsidRPr="00210056" w:rsidRDefault="00675EA6" w:rsidP="00496765">
            <w:pPr>
              <w:jc w:val="center"/>
              <w:rPr>
                <w:rFonts w:ascii="Times New Roman" w:eastAsia="Times New Roman" w:hAnsi="Times New Roman" w:cs="Times New Roman"/>
                <w:sz w:val="20"/>
                <w:szCs w:val="20"/>
              </w:rPr>
            </w:pPr>
            <w:r w:rsidRPr="00210056">
              <w:rPr>
                <w:rFonts w:ascii="Times New Roman" w:eastAsia="Times New Roman" w:hAnsi="Times New Roman" w:cs="Times New Roman"/>
                <w:sz w:val="20"/>
                <w:szCs w:val="20"/>
              </w:rPr>
              <w:t>1998</w:t>
            </w:r>
          </w:p>
        </w:tc>
        <w:tc>
          <w:tcPr>
            <w:tcW w:w="1485" w:type="dxa"/>
            <w:noWrap/>
            <w:hideMark/>
          </w:tcPr>
          <w:p w:rsidR="00675EA6" w:rsidRPr="00210056" w:rsidRDefault="00675EA6" w:rsidP="00496765">
            <w:pPr>
              <w:jc w:val="center"/>
              <w:cnfStyle w:val="000000100000"/>
              <w:rPr>
                <w:rFonts w:ascii="Times New Roman" w:eastAsia="Times New Roman" w:hAnsi="Times New Roman" w:cs="Times New Roman"/>
                <w:sz w:val="20"/>
                <w:szCs w:val="20"/>
              </w:rPr>
            </w:pPr>
            <w:r w:rsidRPr="00210056">
              <w:rPr>
                <w:rFonts w:ascii="Times New Roman" w:eastAsia="Times New Roman" w:hAnsi="Times New Roman" w:cs="Times New Roman"/>
                <w:sz w:val="20"/>
                <w:szCs w:val="20"/>
              </w:rPr>
              <w:t>19,04</w:t>
            </w:r>
          </w:p>
        </w:tc>
        <w:tc>
          <w:tcPr>
            <w:tcW w:w="1418" w:type="dxa"/>
            <w:noWrap/>
            <w:hideMark/>
          </w:tcPr>
          <w:p w:rsidR="00675EA6" w:rsidRPr="00210056" w:rsidRDefault="00675EA6" w:rsidP="00496765">
            <w:pPr>
              <w:jc w:val="center"/>
              <w:cnfStyle w:val="000000100000"/>
              <w:rPr>
                <w:rFonts w:ascii="Times New Roman" w:eastAsia="Times New Roman" w:hAnsi="Times New Roman" w:cs="Times New Roman"/>
                <w:sz w:val="20"/>
                <w:szCs w:val="20"/>
              </w:rPr>
            </w:pPr>
            <w:r w:rsidRPr="00210056">
              <w:rPr>
                <w:rFonts w:ascii="Times New Roman" w:eastAsia="Times New Roman" w:hAnsi="Times New Roman" w:cs="Times New Roman"/>
                <w:sz w:val="20"/>
                <w:szCs w:val="20"/>
              </w:rPr>
              <w:t>68,82</w:t>
            </w:r>
          </w:p>
        </w:tc>
        <w:tc>
          <w:tcPr>
            <w:tcW w:w="1832" w:type="dxa"/>
            <w:noWrap/>
            <w:hideMark/>
          </w:tcPr>
          <w:p w:rsidR="00675EA6" w:rsidRPr="00210056" w:rsidRDefault="00675EA6" w:rsidP="00496765">
            <w:pPr>
              <w:jc w:val="center"/>
              <w:cnfStyle w:val="000000100000"/>
              <w:rPr>
                <w:rFonts w:ascii="Times New Roman" w:eastAsia="Times New Roman" w:hAnsi="Times New Roman" w:cs="Times New Roman"/>
                <w:sz w:val="20"/>
                <w:szCs w:val="20"/>
              </w:rPr>
            </w:pPr>
            <w:r w:rsidRPr="00210056">
              <w:rPr>
                <w:rFonts w:ascii="Times New Roman" w:eastAsia="Times New Roman" w:hAnsi="Times New Roman" w:cs="Times New Roman"/>
                <w:sz w:val="20"/>
                <w:szCs w:val="20"/>
              </w:rPr>
              <w:t>12,14</w:t>
            </w:r>
          </w:p>
        </w:tc>
      </w:tr>
      <w:tr w:rsidR="00675EA6" w:rsidRPr="00210056" w:rsidTr="00695938">
        <w:trPr>
          <w:trHeight w:val="255"/>
          <w:jc w:val="center"/>
        </w:trPr>
        <w:tc>
          <w:tcPr>
            <w:cnfStyle w:val="001000000000"/>
            <w:tcW w:w="1200" w:type="dxa"/>
            <w:noWrap/>
            <w:hideMark/>
          </w:tcPr>
          <w:p w:rsidR="00675EA6" w:rsidRPr="00210056" w:rsidRDefault="00675EA6" w:rsidP="00496765">
            <w:pPr>
              <w:jc w:val="center"/>
              <w:rPr>
                <w:rFonts w:ascii="Times New Roman" w:eastAsia="Times New Roman" w:hAnsi="Times New Roman" w:cs="Times New Roman"/>
                <w:sz w:val="20"/>
                <w:szCs w:val="20"/>
              </w:rPr>
            </w:pPr>
            <w:r w:rsidRPr="00210056">
              <w:rPr>
                <w:rFonts w:ascii="Times New Roman" w:eastAsia="Times New Roman" w:hAnsi="Times New Roman" w:cs="Times New Roman"/>
                <w:sz w:val="20"/>
                <w:szCs w:val="20"/>
              </w:rPr>
              <w:t>1999</w:t>
            </w:r>
          </w:p>
        </w:tc>
        <w:tc>
          <w:tcPr>
            <w:tcW w:w="1485" w:type="dxa"/>
            <w:noWrap/>
            <w:hideMark/>
          </w:tcPr>
          <w:p w:rsidR="00675EA6" w:rsidRPr="00210056" w:rsidRDefault="00675EA6" w:rsidP="00496765">
            <w:pPr>
              <w:jc w:val="center"/>
              <w:cnfStyle w:val="000000000000"/>
              <w:rPr>
                <w:rFonts w:ascii="Times New Roman" w:eastAsia="Times New Roman" w:hAnsi="Times New Roman" w:cs="Times New Roman"/>
                <w:sz w:val="20"/>
                <w:szCs w:val="20"/>
              </w:rPr>
            </w:pPr>
            <w:r w:rsidRPr="00210056">
              <w:rPr>
                <w:rFonts w:ascii="Times New Roman" w:eastAsia="Times New Roman" w:hAnsi="Times New Roman" w:cs="Times New Roman"/>
                <w:sz w:val="20"/>
                <w:szCs w:val="20"/>
              </w:rPr>
              <w:t>18,67</w:t>
            </w:r>
          </w:p>
        </w:tc>
        <w:tc>
          <w:tcPr>
            <w:tcW w:w="1418" w:type="dxa"/>
            <w:noWrap/>
            <w:hideMark/>
          </w:tcPr>
          <w:p w:rsidR="00675EA6" w:rsidRPr="00210056" w:rsidRDefault="00675EA6" w:rsidP="00496765">
            <w:pPr>
              <w:jc w:val="center"/>
              <w:cnfStyle w:val="000000000000"/>
              <w:rPr>
                <w:rFonts w:ascii="Times New Roman" w:eastAsia="Times New Roman" w:hAnsi="Times New Roman" w:cs="Times New Roman"/>
                <w:sz w:val="20"/>
                <w:szCs w:val="20"/>
              </w:rPr>
            </w:pPr>
            <w:r w:rsidRPr="00210056">
              <w:rPr>
                <w:rFonts w:ascii="Times New Roman" w:eastAsia="Times New Roman" w:hAnsi="Times New Roman" w:cs="Times New Roman"/>
                <w:sz w:val="20"/>
                <w:szCs w:val="20"/>
              </w:rPr>
              <w:t>68,89</w:t>
            </w:r>
          </w:p>
        </w:tc>
        <w:tc>
          <w:tcPr>
            <w:tcW w:w="1832" w:type="dxa"/>
            <w:noWrap/>
            <w:hideMark/>
          </w:tcPr>
          <w:p w:rsidR="00675EA6" w:rsidRPr="00210056" w:rsidRDefault="00675EA6" w:rsidP="00496765">
            <w:pPr>
              <w:jc w:val="center"/>
              <w:cnfStyle w:val="000000000000"/>
              <w:rPr>
                <w:rFonts w:ascii="Times New Roman" w:eastAsia="Times New Roman" w:hAnsi="Times New Roman" w:cs="Times New Roman"/>
                <w:sz w:val="20"/>
                <w:szCs w:val="20"/>
              </w:rPr>
            </w:pPr>
            <w:r w:rsidRPr="00210056">
              <w:rPr>
                <w:rFonts w:ascii="Times New Roman" w:eastAsia="Times New Roman" w:hAnsi="Times New Roman" w:cs="Times New Roman"/>
                <w:sz w:val="20"/>
                <w:szCs w:val="20"/>
              </w:rPr>
              <w:t>12,44</w:t>
            </w:r>
          </w:p>
        </w:tc>
      </w:tr>
      <w:tr w:rsidR="00675EA6" w:rsidRPr="00210056" w:rsidTr="00695938">
        <w:trPr>
          <w:cnfStyle w:val="000000100000"/>
          <w:trHeight w:val="255"/>
          <w:jc w:val="center"/>
        </w:trPr>
        <w:tc>
          <w:tcPr>
            <w:cnfStyle w:val="001000000000"/>
            <w:tcW w:w="1200" w:type="dxa"/>
            <w:noWrap/>
            <w:hideMark/>
          </w:tcPr>
          <w:p w:rsidR="00675EA6" w:rsidRPr="00210056" w:rsidRDefault="00675EA6" w:rsidP="00496765">
            <w:pPr>
              <w:jc w:val="center"/>
              <w:rPr>
                <w:rFonts w:ascii="Times New Roman" w:eastAsia="Times New Roman" w:hAnsi="Times New Roman" w:cs="Times New Roman"/>
                <w:sz w:val="20"/>
                <w:szCs w:val="20"/>
              </w:rPr>
            </w:pPr>
            <w:r w:rsidRPr="00210056">
              <w:rPr>
                <w:rFonts w:ascii="Times New Roman" w:eastAsia="Times New Roman" w:hAnsi="Times New Roman" w:cs="Times New Roman"/>
                <w:sz w:val="20"/>
                <w:szCs w:val="20"/>
              </w:rPr>
              <w:t>2000</w:t>
            </w:r>
          </w:p>
        </w:tc>
        <w:tc>
          <w:tcPr>
            <w:tcW w:w="1485" w:type="dxa"/>
            <w:noWrap/>
            <w:hideMark/>
          </w:tcPr>
          <w:p w:rsidR="00675EA6" w:rsidRPr="00210056" w:rsidRDefault="00675EA6" w:rsidP="00496765">
            <w:pPr>
              <w:jc w:val="center"/>
              <w:cnfStyle w:val="000000100000"/>
              <w:rPr>
                <w:rFonts w:ascii="Times New Roman" w:eastAsia="Times New Roman" w:hAnsi="Times New Roman" w:cs="Times New Roman"/>
                <w:sz w:val="20"/>
                <w:szCs w:val="20"/>
              </w:rPr>
            </w:pPr>
            <w:r w:rsidRPr="00210056">
              <w:rPr>
                <w:rFonts w:ascii="Times New Roman" w:eastAsia="Times New Roman" w:hAnsi="Times New Roman" w:cs="Times New Roman"/>
                <w:sz w:val="20"/>
                <w:szCs w:val="20"/>
              </w:rPr>
              <w:t>17,66</w:t>
            </w:r>
          </w:p>
        </w:tc>
        <w:tc>
          <w:tcPr>
            <w:tcW w:w="1418" w:type="dxa"/>
            <w:noWrap/>
            <w:hideMark/>
          </w:tcPr>
          <w:p w:rsidR="00675EA6" w:rsidRPr="00210056" w:rsidRDefault="00675EA6" w:rsidP="00496765">
            <w:pPr>
              <w:jc w:val="center"/>
              <w:cnfStyle w:val="000000100000"/>
              <w:rPr>
                <w:rFonts w:ascii="Times New Roman" w:eastAsia="Times New Roman" w:hAnsi="Times New Roman" w:cs="Times New Roman"/>
                <w:sz w:val="20"/>
                <w:szCs w:val="20"/>
              </w:rPr>
            </w:pPr>
            <w:r w:rsidRPr="00210056">
              <w:rPr>
                <w:rFonts w:ascii="Times New Roman" w:eastAsia="Times New Roman" w:hAnsi="Times New Roman" w:cs="Times New Roman"/>
                <w:sz w:val="20"/>
                <w:szCs w:val="20"/>
              </w:rPr>
              <w:t>67,87</w:t>
            </w:r>
          </w:p>
        </w:tc>
        <w:tc>
          <w:tcPr>
            <w:tcW w:w="1832" w:type="dxa"/>
            <w:noWrap/>
            <w:hideMark/>
          </w:tcPr>
          <w:p w:rsidR="00675EA6" w:rsidRPr="00210056" w:rsidRDefault="00675EA6" w:rsidP="00496765">
            <w:pPr>
              <w:jc w:val="center"/>
              <w:cnfStyle w:val="000000100000"/>
              <w:rPr>
                <w:rFonts w:ascii="Times New Roman" w:eastAsia="Times New Roman" w:hAnsi="Times New Roman" w:cs="Times New Roman"/>
                <w:sz w:val="20"/>
                <w:szCs w:val="20"/>
              </w:rPr>
            </w:pPr>
            <w:r w:rsidRPr="00210056">
              <w:rPr>
                <w:rFonts w:ascii="Times New Roman" w:eastAsia="Times New Roman" w:hAnsi="Times New Roman" w:cs="Times New Roman"/>
                <w:sz w:val="20"/>
                <w:szCs w:val="20"/>
              </w:rPr>
              <w:t>14,47</w:t>
            </w:r>
          </w:p>
        </w:tc>
      </w:tr>
      <w:tr w:rsidR="00675EA6" w:rsidRPr="00210056" w:rsidTr="00695938">
        <w:trPr>
          <w:trHeight w:val="255"/>
          <w:jc w:val="center"/>
        </w:trPr>
        <w:tc>
          <w:tcPr>
            <w:cnfStyle w:val="001000000000"/>
            <w:tcW w:w="1200" w:type="dxa"/>
            <w:noWrap/>
            <w:hideMark/>
          </w:tcPr>
          <w:p w:rsidR="00675EA6" w:rsidRPr="00210056" w:rsidRDefault="00675EA6" w:rsidP="00496765">
            <w:pPr>
              <w:jc w:val="center"/>
              <w:rPr>
                <w:rFonts w:ascii="Times New Roman" w:eastAsia="Times New Roman" w:hAnsi="Times New Roman" w:cs="Times New Roman"/>
                <w:sz w:val="20"/>
                <w:szCs w:val="20"/>
              </w:rPr>
            </w:pPr>
            <w:r w:rsidRPr="00210056">
              <w:rPr>
                <w:rFonts w:ascii="Times New Roman" w:eastAsia="Times New Roman" w:hAnsi="Times New Roman" w:cs="Times New Roman"/>
                <w:sz w:val="20"/>
                <w:szCs w:val="20"/>
              </w:rPr>
              <w:t>2001</w:t>
            </w:r>
          </w:p>
        </w:tc>
        <w:tc>
          <w:tcPr>
            <w:tcW w:w="1485" w:type="dxa"/>
            <w:noWrap/>
            <w:hideMark/>
          </w:tcPr>
          <w:p w:rsidR="00675EA6" w:rsidRPr="00210056" w:rsidRDefault="00675EA6" w:rsidP="00496765">
            <w:pPr>
              <w:jc w:val="center"/>
              <w:cnfStyle w:val="000000000000"/>
              <w:rPr>
                <w:rFonts w:ascii="Times New Roman" w:eastAsia="Times New Roman" w:hAnsi="Times New Roman" w:cs="Times New Roman"/>
                <w:sz w:val="20"/>
                <w:szCs w:val="20"/>
              </w:rPr>
            </w:pPr>
            <w:r w:rsidRPr="00210056">
              <w:rPr>
                <w:rFonts w:ascii="Times New Roman" w:eastAsia="Times New Roman" w:hAnsi="Times New Roman" w:cs="Times New Roman"/>
                <w:sz w:val="20"/>
                <w:szCs w:val="20"/>
              </w:rPr>
              <w:t>17,19</w:t>
            </w:r>
          </w:p>
        </w:tc>
        <w:tc>
          <w:tcPr>
            <w:tcW w:w="1418" w:type="dxa"/>
            <w:noWrap/>
            <w:hideMark/>
          </w:tcPr>
          <w:p w:rsidR="00675EA6" w:rsidRPr="00210056" w:rsidRDefault="00675EA6" w:rsidP="00496765">
            <w:pPr>
              <w:jc w:val="center"/>
              <w:cnfStyle w:val="000000000000"/>
              <w:rPr>
                <w:rFonts w:ascii="Times New Roman" w:eastAsia="Times New Roman" w:hAnsi="Times New Roman" w:cs="Times New Roman"/>
                <w:sz w:val="20"/>
                <w:szCs w:val="20"/>
              </w:rPr>
            </w:pPr>
            <w:r w:rsidRPr="00210056">
              <w:rPr>
                <w:rFonts w:ascii="Times New Roman" w:eastAsia="Times New Roman" w:hAnsi="Times New Roman" w:cs="Times New Roman"/>
                <w:sz w:val="20"/>
                <w:szCs w:val="20"/>
              </w:rPr>
              <w:t>68,48</w:t>
            </w:r>
          </w:p>
        </w:tc>
        <w:tc>
          <w:tcPr>
            <w:tcW w:w="1832" w:type="dxa"/>
            <w:noWrap/>
            <w:hideMark/>
          </w:tcPr>
          <w:p w:rsidR="00675EA6" w:rsidRPr="00210056" w:rsidRDefault="00675EA6" w:rsidP="00496765">
            <w:pPr>
              <w:jc w:val="center"/>
              <w:cnfStyle w:val="000000000000"/>
              <w:rPr>
                <w:rFonts w:ascii="Times New Roman" w:eastAsia="Times New Roman" w:hAnsi="Times New Roman" w:cs="Times New Roman"/>
                <w:sz w:val="20"/>
                <w:szCs w:val="20"/>
              </w:rPr>
            </w:pPr>
            <w:r w:rsidRPr="00210056">
              <w:rPr>
                <w:rFonts w:ascii="Times New Roman" w:eastAsia="Times New Roman" w:hAnsi="Times New Roman" w:cs="Times New Roman"/>
                <w:sz w:val="20"/>
                <w:szCs w:val="20"/>
              </w:rPr>
              <w:t>14,33</w:t>
            </w:r>
          </w:p>
        </w:tc>
      </w:tr>
      <w:tr w:rsidR="00675EA6" w:rsidRPr="00210056" w:rsidTr="00695938">
        <w:trPr>
          <w:cnfStyle w:val="000000100000"/>
          <w:trHeight w:val="255"/>
          <w:jc w:val="center"/>
        </w:trPr>
        <w:tc>
          <w:tcPr>
            <w:cnfStyle w:val="001000000000"/>
            <w:tcW w:w="1200" w:type="dxa"/>
            <w:noWrap/>
            <w:hideMark/>
          </w:tcPr>
          <w:p w:rsidR="00675EA6" w:rsidRPr="00210056" w:rsidRDefault="00675EA6" w:rsidP="00496765">
            <w:pPr>
              <w:jc w:val="center"/>
              <w:rPr>
                <w:rFonts w:ascii="Times New Roman" w:eastAsia="Times New Roman" w:hAnsi="Times New Roman" w:cs="Times New Roman"/>
                <w:sz w:val="20"/>
                <w:szCs w:val="20"/>
              </w:rPr>
            </w:pPr>
            <w:r w:rsidRPr="00210056">
              <w:rPr>
                <w:rFonts w:ascii="Times New Roman" w:eastAsia="Times New Roman" w:hAnsi="Times New Roman" w:cs="Times New Roman"/>
                <w:sz w:val="20"/>
                <w:szCs w:val="20"/>
              </w:rPr>
              <w:t>2002</w:t>
            </w:r>
          </w:p>
        </w:tc>
        <w:tc>
          <w:tcPr>
            <w:tcW w:w="1485" w:type="dxa"/>
            <w:noWrap/>
            <w:hideMark/>
          </w:tcPr>
          <w:p w:rsidR="00675EA6" w:rsidRPr="00210056" w:rsidRDefault="00675EA6" w:rsidP="00496765">
            <w:pPr>
              <w:jc w:val="center"/>
              <w:cnfStyle w:val="000000100000"/>
              <w:rPr>
                <w:rFonts w:ascii="Times New Roman" w:eastAsia="Times New Roman" w:hAnsi="Times New Roman" w:cs="Times New Roman"/>
                <w:sz w:val="20"/>
                <w:szCs w:val="20"/>
              </w:rPr>
            </w:pPr>
            <w:r w:rsidRPr="00210056">
              <w:rPr>
                <w:rFonts w:ascii="Times New Roman" w:eastAsia="Times New Roman" w:hAnsi="Times New Roman" w:cs="Times New Roman"/>
                <w:sz w:val="20"/>
                <w:szCs w:val="20"/>
              </w:rPr>
              <w:t>17,11</w:t>
            </w:r>
          </w:p>
        </w:tc>
        <w:tc>
          <w:tcPr>
            <w:tcW w:w="1418" w:type="dxa"/>
            <w:noWrap/>
            <w:hideMark/>
          </w:tcPr>
          <w:p w:rsidR="00675EA6" w:rsidRPr="00210056" w:rsidRDefault="00675EA6" w:rsidP="00496765">
            <w:pPr>
              <w:jc w:val="center"/>
              <w:cnfStyle w:val="000000100000"/>
              <w:rPr>
                <w:rFonts w:ascii="Times New Roman" w:eastAsia="Times New Roman" w:hAnsi="Times New Roman" w:cs="Times New Roman"/>
                <w:sz w:val="20"/>
                <w:szCs w:val="20"/>
              </w:rPr>
            </w:pPr>
            <w:r w:rsidRPr="00210056">
              <w:rPr>
                <w:rFonts w:ascii="Times New Roman" w:eastAsia="Times New Roman" w:hAnsi="Times New Roman" w:cs="Times New Roman"/>
                <w:sz w:val="20"/>
                <w:szCs w:val="20"/>
              </w:rPr>
              <w:t>68,65</w:t>
            </w:r>
          </w:p>
        </w:tc>
        <w:tc>
          <w:tcPr>
            <w:tcW w:w="1832" w:type="dxa"/>
            <w:noWrap/>
            <w:hideMark/>
          </w:tcPr>
          <w:p w:rsidR="00675EA6" w:rsidRPr="00210056" w:rsidRDefault="00675EA6" w:rsidP="00496765">
            <w:pPr>
              <w:jc w:val="center"/>
              <w:cnfStyle w:val="000000100000"/>
              <w:rPr>
                <w:rFonts w:ascii="Times New Roman" w:eastAsia="Times New Roman" w:hAnsi="Times New Roman" w:cs="Times New Roman"/>
                <w:sz w:val="20"/>
                <w:szCs w:val="20"/>
              </w:rPr>
            </w:pPr>
            <w:r w:rsidRPr="00210056">
              <w:rPr>
                <w:rFonts w:ascii="Times New Roman" w:eastAsia="Times New Roman" w:hAnsi="Times New Roman" w:cs="Times New Roman"/>
                <w:sz w:val="20"/>
                <w:szCs w:val="20"/>
              </w:rPr>
              <w:t>14,24</w:t>
            </w:r>
          </w:p>
        </w:tc>
      </w:tr>
      <w:tr w:rsidR="00675EA6" w:rsidRPr="00210056" w:rsidTr="00695938">
        <w:trPr>
          <w:trHeight w:val="255"/>
          <w:jc w:val="center"/>
        </w:trPr>
        <w:tc>
          <w:tcPr>
            <w:cnfStyle w:val="001000000000"/>
            <w:tcW w:w="1200" w:type="dxa"/>
            <w:noWrap/>
            <w:hideMark/>
          </w:tcPr>
          <w:p w:rsidR="00675EA6" w:rsidRPr="00210056" w:rsidRDefault="00675EA6" w:rsidP="00496765">
            <w:pPr>
              <w:jc w:val="center"/>
              <w:rPr>
                <w:rFonts w:ascii="Times New Roman" w:eastAsia="Times New Roman" w:hAnsi="Times New Roman" w:cs="Times New Roman"/>
                <w:sz w:val="20"/>
                <w:szCs w:val="20"/>
              </w:rPr>
            </w:pPr>
            <w:r w:rsidRPr="00210056">
              <w:rPr>
                <w:rFonts w:ascii="Times New Roman" w:eastAsia="Times New Roman" w:hAnsi="Times New Roman" w:cs="Times New Roman"/>
                <w:sz w:val="20"/>
                <w:szCs w:val="20"/>
              </w:rPr>
              <w:t>2003</w:t>
            </w:r>
          </w:p>
        </w:tc>
        <w:tc>
          <w:tcPr>
            <w:tcW w:w="1485" w:type="dxa"/>
            <w:noWrap/>
            <w:hideMark/>
          </w:tcPr>
          <w:p w:rsidR="00675EA6" w:rsidRPr="00210056" w:rsidRDefault="00675EA6" w:rsidP="00496765">
            <w:pPr>
              <w:jc w:val="center"/>
              <w:cnfStyle w:val="000000000000"/>
              <w:rPr>
                <w:rFonts w:ascii="Times New Roman" w:eastAsia="Times New Roman" w:hAnsi="Times New Roman" w:cs="Times New Roman"/>
                <w:sz w:val="20"/>
                <w:szCs w:val="20"/>
              </w:rPr>
            </w:pPr>
            <w:r w:rsidRPr="00210056">
              <w:rPr>
                <w:rFonts w:ascii="Times New Roman" w:eastAsia="Times New Roman" w:hAnsi="Times New Roman" w:cs="Times New Roman"/>
                <w:sz w:val="20"/>
                <w:szCs w:val="20"/>
              </w:rPr>
              <w:t>17,15</w:t>
            </w:r>
          </w:p>
        </w:tc>
        <w:tc>
          <w:tcPr>
            <w:tcW w:w="1418" w:type="dxa"/>
            <w:noWrap/>
            <w:hideMark/>
          </w:tcPr>
          <w:p w:rsidR="00675EA6" w:rsidRPr="00210056" w:rsidRDefault="00675EA6" w:rsidP="00496765">
            <w:pPr>
              <w:jc w:val="center"/>
              <w:cnfStyle w:val="000000000000"/>
              <w:rPr>
                <w:rFonts w:ascii="Times New Roman" w:eastAsia="Times New Roman" w:hAnsi="Times New Roman" w:cs="Times New Roman"/>
                <w:sz w:val="20"/>
                <w:szCs w:val="20"/>
              </w:rPr>
            </w:pPr>
            <w:r w:rsidRPr="00210056">
              <w:rPr>
                <w:rFonts w:ascii="Times New Roman" w:eastAsia="Times New Roman" w:hAnsi="Times New Roman" w:cs="Times New Roman"/>
                <w:sz w:val="20"/>
                <w:szCs w:val="20"/>
              </w:rPr>
              <w:t>68,74</w:t>
            </w:r>
          </w:p>
        </w:tc>
        <w:tc>
          <w:tcPr>
            <w:tcW w:w="1832" w:type="dxa"/>
            <w:noWrap/>
            <w:hideMark/>
          </w:tcPr>
          <w:p w:rsidR="00675EA6" w:rsidRPr="00210056" w:rsidRDefault="00675EA6" w:rsidP="00496765">
            <w:pPr>
              <w:jc w:val="center"/>
              <w:cnfStyle w:val="000000000000"/>
              <w:rPr>
                <w:rFonts w:ascii="Times New Roman" w:eastAsia="Times New Roman" w:hAnsi="Times New Roman" w:cs="Times New Roman"/>
                <w:sz w:val="20"/>
                <w:szCs w:val="20"/>
              </w:rPr>
            </w:pPr>
            <w:r w:rsidRPr="00210056">
              <w:rPr>
                <w:rFonts w:ascii="Times New Roman" w:eastAsia="Times New Roman" w:hAnsi="Times New Roman" w:cs="Times New Roman"/>
                <w:sz w:val="20"/>
                <w:szCs w:val="20"/>
              </w:rPr>
              <w:t>14,10</w:t>
            </w:r>
          </w:p>
        </w:tc>
      </w:tr>
      <w:tr w:rsidR="00675EA6" w:rsidRPr="00210056" w:rsidTr="00695938">
        <w:trPr>
          <w:cnfStyle w:val="000000100000"/>
          <w:trHeight w:val="255"/>
          <w:jc w:val="center"/>
        </w:trPr>
        <w:tc>
          <w:tcPr>
            <w:cnfStyle w:val="001000000000"/>
            <w:tcW w:w="1200" w:type="dxa"/>
            <w:noWrap/>
            <w:hideMark/>
          </w:tcPr>
          <w:p w:rsidR="00675EA6" w:rsidRPr="00210056" w:rsidRDefault="00675EA6" w:rsidP="00496765">
            <w:pPr>
              <w:jc w:val="center"/>
              <w:rPr>
                <w:rFonts w:ascii="Times New Roman" w:eastAsia="Times New Roman" w:hAnsi="Times New Roman" w:cs="Times New Roman"/>
                <w:sz w:val="20"/>
                <w:szCs w:val="20"/>
              </w:rPr>
            </w:pPr>
            <w:r w:rsidRPr="00210056">
              <w:rPr>
                <w:rFonts w:ascii="Times New Roman" w:eastAsia="Times New Roman" w:hAnsi="Times New Roman" w:cs="Times New Roman"/>
                <w:sz w:val="20"/>
                <w:szCs w:val="20"/>
              </w:rPr>
              <w:t>2004</w:t>
            </w:r>
          </w:p>
        </w:tc>
        <w:tc>
          <w:tcPr>
            <w:tcW w:w="1485" w:type="dxa"/>
            <w:noWrap/>
            <w:hideMark/>
          </w:tcPr>
          <w:p w:rsidR="00675EA6" w:rsidRPr="00210056" w:rsidRDefault="00675EA6" w:rsidP="00496765">
            <w:pPr>
              <w:jc w:val="center"/>
              <w:cnfStyle w:val="000000100000"/>
              <w:rPr>
                <w:rFonts w:ascii="Times New Roman" w:eastAsia="Times New Roman" w:hAnsi="Times New Roman" w:cs="Times New Roman"/>
                <w:sz w:val="20"/>
                <w:szCs w:val="20"/>
              </w:rPr>
            </w:pPr>
            <w:r w:rsidRPr="00210056">
              <w:rPr>
                <w:rFonts w:ascii="Times New Roman" w:eastAsia="Times New Roman" w:hAnsi="Times New Roman" w:cs="Times New Roman"/>
                <w:sz w:val="20"/>
                <w:szCs w:val="20"/>
              </w:rPr>
              <w:t>17,19</w:t>
            </w:r>
          </w:p>
        </w:tc>
        <w:tc>
          <w:tcPr>
            <w:tcW w:w="1418" w:type="dxa"/>
            <w:noWrap/>
            <w:hideMark/>
          </w:tcPr>
          <w:p w:rsidR="00675EA6" w:rsidRPr="00210056" w:rsidRDefault="00675EA6" w:rsidP="00496765">
            <w:pPr>
              <w:jc w:val="center"/>
              <w:cnfStyle w:val="000000100000"/>
              <w:rPr>
                <w:rFonts w:ascii="Times New Roman" w:eastAsia="Times New Roman" w:hAnsi="Times New Roman" w:cs="Times New Roman"/>
                <w:sz w:val="20"/>
                <w:szCs w:val="20"/>
              </w:rPr>
            </w:pPr>
            <w:r w:rsidRPr="00210056">
              <w:rPr>
                <w:rFonts w:ascii="Times New Roman" w:eastAsia="Times New Roman" w:hAnsi="Times New Roman" w:cs="Times New Roman"/>
                <w:sz w:val="20"/>
                <w:szCs w:val="20"/>
              </w:rPr>
              <w:t>68,72</w:t>
            </w:r>
          </w:p>
        </w:tc>
        <w:tc>
          <w:tcPr>
            <w:tcW w:w="1832" w:type="dxa"/>
            <w:noWrap/>
            <w:hideMark/>
          </w:tcPr>
          <w:p w:rsidR="00675EA6" w:rsidRPr="00210056" w:rsidRDefault="00675EA6" w:rsidP="00496765">
            <w:pPr>
              <w:jc w:val="center"/>
              <w:cnfStyle w:val="000000100000"/>
              <w:rPr>
                <w:rFonts w:ascii="Times New Roman" w:eastAsia="Times New Roman" w:hAnsi="Times New Roman" w:cs="Times New Roman"/>
                <w:sz w:val="20"/>
                <w:szCs w:val="20"/>
              </w:rPr>
            </w:pPr>
            <w:r w:rsidRPr="00210056">
              <w:rPr>
                <w:rFonts w:ascii="Times New Roman" w:eastAsia="Times New Roman" w:hAnsi="Times New Roman" w:cs="Times New Roman"/>
                <w:sz w:val="20"/>
                <w:szCs w:val="20"/>
              </w:rPr>
              <w:t>14,09</w:t>
            </w:r>
          </w:p>
        </w:tc>
      </w:tr>
      <w:tr w:rsidR="00675EA6" w:rsidRPr="00210056" w:rsidTr="00695938">
        <w:trPr>
          <w:trHeight w:val="255"/>
          <w:jc w:val="center"/>
        </w:trPr>
        <w:tc>
          <w:tcPr>
            <w:cnfStyle w:val="001000000000"/>
            <w:tcW w:w="1200" w:type="dxa"/>
            <w:noWrap/>
            <w:hideMark/>
          </w:tcPr>
          <w:p w:rsidR="00675EA6" w:rsidRPr="00210056" w:rsidRDefault="00675EA6" w:rsidP="00496765">
            <w:pPr>
              <w:jc w:val="center"/>
              <w:rPr>
                <w:rFonts w:ascii="Times New Roman" w:eastAsia="Times New Roman" w:hAnsi="Times New Roman" w:cs="Times New Roman"/>
                <w:sz w:val="20"/>
                <w:szCs w:val="20"/>
              </w:rPr>
            </w:pPr>
            <w:r w:rsidRPr="00210056">
              <w:rPr>
                <w:rFonts w:ascii="Times New Roman" w:eastAsia="Times New Roman" w:hAnsi="Times New Roman" w:cs="Times New Roman"/>
                <w:sz w:val="20"/>
                <w:szCs w:val="20"/>
              </w:rPr>
              <w:t>2005</w:t>
            </w:r>
          </w:p>
        </w:tc>
        <w:tc>
          <w:tcPr>
            <w:tcW w:w="1485" w:type="dxa"/>
            <w:noWrap/>
            <w:hideMark/>
          </w:tcPr>
          <w:p w:rsidR="00675EA6" w:rsidRPr="00210056" w:rsidRDefault="00675EA6" w:rsidP="00496765">
            <w:pPr>
              <w:jc w:val="center"/>
              <w:cnfStyle w:val="000000000000"/>
              <w:rPr>
                <w:rFonts w:ascii="Times New Roman" w:eastAsia="Times New Roman" w:hAnsi="Times New Roman" w:cs="Times New Roman"/>
                <w:sz w:val="20"/>
                <w:szCs w:val="20"/>
              </w:rPr>
            </w:pPr>
            <w:r w:rsidRPr="00210056">
              <w:rPr>
                <w:rFonts w:ascii="Times New Roman" w:eastAsia="Times New Roman" w:hAnsi="Times New Roman" w:cs="Times New Roman"/>
                <w:sz w:val="20"/>
                <w:szCs w:val="20"/>
              </w:rPr>
              <w:t>17,05</w:t>
            </w:r>
          </w:p>
        </w:tc>
        <w:tc>
          <w:tcPr>
            <w:tcW w:w="1418" w:type="dxa"/>
            <w:noWrap/>
            <w:hideMark/>
          </w:tcPr>
          <w:p w:rsidR="00675EA6" w:rsidRPr="00210056" w:rsidRDefault="00675EA6" w:rsidP="00496765">
            <w:pPr>
              <w:jc w:val="center"/>
              <w:cnfStyle w:val="000000000000"/>
              <w:rPr>
                <w:rFonts w:ascii="Times New Roman" w:eastAsia="Times New Roman" w:hAnsi="Times New Roman" w:cs="Times New Roman"/>
                <w:sz w:val="20"/>
                <w:szCs w:val="20"/>
              </w:rPr>
            </w:pPr>
            <w:r w:rsidRPr="00210056">
              <w:rPr>
                <w:rFonts w:ascii="Times New Roman" w:eastAsia="Times New Roman" w:hAnsi="Times New Roman" w:cs="Times New Roman"/>
                <w:sz w:val="20"/>
                <w:szCs w:val="20"/>
              </w:rPr>
              <w:t>69,20</w:t>
            </w:r>
          </w:p>
        </w:tc>
        <w:tc>
          <w:tcPr>
            <w:tcW w:w="1832" w:type="dxa"/>
            <w:noWrap/>
            <w:hideMark/>
          </w:tcPr>
          <w:p w:rsidR="00675EA6" w:rsidRPr="00210056" w:rsidRDefault="00675EA6" w:rsidP="00496765">
            <w:pPr>
              <w:jc w:val="center"/>
              <w:cnfStyle w:val="000000000000"/>
              <w:rPr>
                <w:rFonts w:ascii="Times New Roman" w:eastAsia="Times New Roman" w:hAnsi="Times New Roman" w:cs="Times New Roman"/>
                <w:sz w:val="20"/>
                <w:szCs w:val="20"/>
              </w:rPr>
            </w:pPr>
            <w:r w:rsidRPr="00210056">
              <w:rPr>
                <w:rFonts w:ascii="Times New Roman" w:eastAsia="Times New Roman" w:hAnsi="Times New Roman" w:cs="Times New Roman"/>
                <w:sz w:val="20"/>
                <w:szCs w:val="20"/>
              </w:rPr>
              <w:t>13,75</w:t>
            </w:r>
          </w:p>
        </w:tc>
      </w:tr>
      <w:tr w:rsidR="00675EA6" w:rsidRPr="00210056" w:rsidTr="00695938">
        <w:trPr>
          <w:cnfStyle w:val="000000100000"/>
          <w:trHeight w:val="255"/>
          <w:jc w:val="center"/>
        </w:trPr>
        <w:tc>
          <w:tcPr>
            <w:cnfStyle w:val="001000000000"/>
            <w:tcW w:w="1200" w:type="dxa"/>
            <w:noWrap/>
            <w:hideMark/>
          </w:tcPr>
          <w:p w:rsidR="00675EA6" w:rsidRPr="00210056" w:rsidRDefault="00675EA6" w:rsidP="00496765">
            <w:pPr>
              <w:jc w:val="center"/>
              <w:rPr>
                <w:rFonts w:ascii="Times New Roman" w:eastAsia="Times New Roman" w:hAnsi="Times New Roman" w:cs="Times New Roman"/>
                <w:sz w:val="20"/>
                <w:szCs w:val="20"/>
              </w:rPr>
            </w:pPr>
            <w:r w:rsidRPr="00210056">
              <w:rPr>
                <w:rFonts w:ascii="Times New Roman" w:eastAsia="Times New Roman" w:hAnsi="Times New Roman" w:cs="Times New Roman"/>
                <w:sz w:val="20"/>
                <w:szCs w:val="20"/>
              </w:rPr>
              <w:t>2006</w:t>
            </w:r>
          </w:p>
        </w:tc>
        <w:tc>
          <w:tcPr>
            <w:tcW w:w="1485" w:type="dxa"/>
            <w:noWrap/>
            <w:hideMark/>
          </w:tcPr>
          <w:p w:rsidR="00675EA6" w:rsidRPr="00210056" w:rsidRDefault="00675EA6" w:rsidP="00496765">
            <w:pPr>
              <w:jc w:val="center"/>
              <w:cnfStyle w:val="000000100000"/>
              <w:rPr>
                <w:rFonts w:ascii="Times New Roman" w:eastAsia="Times New Roman" w:hAnsi="Times New Roman" w:cs="Times New Roman"/>
                <w:sz w:val="20"/>
                <w:szCs w:val="20"/>
              </w:rPr>
            </w:pPr>
            <w:r w:rsidRPr="00210056">
              <w:rPr>
                <w:rFonts w:ascii="Times New Roman" w:eastAsia="Times New Roman" w:hAnsi="Times New Roman" w:cs="Times New Roman"/>
                <w:sz w:val="20"/>
                <w:szCs w:val="20"/>
              </w:rPr>
              <w:t>17,05</w:t>
            </w:r>
          </w:p>
        </w:tc>
        <w:tc>
          <w:tcPr>
            <w:tcW w:w="1418" w:type="dxa"/>
            <w:noWrap/>
            <w:hideMark/>
          </w:tcPr>
          <w:p w:rsidR="00675EA6" w:rsidRPr="00210056" w:rsidRDefault="00675EA6" w:rsidP="00496765">
            <w:pPr>
              <w:jc w:val="center"/>
              <w:cnfStyle w:val="000000100000"/>
              <w:rPr>
                <w:rFonts w:ascii="Times New Roman" w:eastAsia="Times New Roman" w:hAnsi="Times New Roman" w:cs="Times New Roman"/>
                <w:sz w:val="20"/>
                <w:szCs w:val="20"/>
              </w:rPr>
            </w:pPr>
            <w:r w:rsidRPr="00210056">
              <w:rPr>
                <w:rFonts w:ascii="Times New Roman" w:eastAsia="Times New Roman" w:hAnsi="Times New Roman" w:cs="Times New Roman"/>
                <w:sz w:val="20"/>
                <w:szCs w:val="20"/>
              </w:rPr>
              <w:t>69,16</w:t>
            </w:r>
          </w:p>
        </w:tc>
        <w:tc>
          <w:tcPr>
            <w:tcW w:w="1832" w:type="dxa"/>
            <w:noWrap/>
            <w:hideMark/>
          </w:tcPr>
          <w:p w:rsidR="00675EA6" w:rsidRPr="00210056" w:rsidRDefault="00675EA6" w:rsidP="00496765">
            <w:pPr>
              <w:jc w:val="center"/>
              <w:cnfStyle w:val="000000100000"/>
              <w:rPr>
                <w:rFonts w:ascii="Times New Roman" w:eastAsia="Times New Roman" w:hAnsi="Times New Roman" w:cs="Times New Roman"/>
                <w:sz w:val="20"/>
                <w:szCs w:val="20"/>
              </w:rPr>
            </w:pPr>
            <w:r w:rsidRPr="00210056">
              <w:rPr>
                <w:rFonts w:ascii="Times New Roman" w:eastAsia="Times New Roman" w:hAnsi="Times New Roman" w:cs="Times New Roman"/>
                <w:sz w:val="20"/>
                <w:szCs w:val="20"/>
              </w:rPr>
              <w:t>13,80</w:t>
            </w:r>
          </w:p>
        </w:tc>
      </w:tr>
      <w:tr w:rsidR="00675EA6" w:rsidRPr="00210056" w:rsidTr="00695938">
        <w:trPr>
          <w:trHeight w:val="255"/>
          <w:jc w:val="center"/>
        </w:trPr>
        <w:tc>
          <w:tcPr>
            <w:cnfStyle w:val="001000000000"/>
            <w:tcW w:w="1200" w:type="dxa"/>
            <w:noWrap/>
            <w:hideMark/>
          </w:tcPr>
          <w:p w:rsidR="00675EA6" w:rsidRPr="00210056" w:rsidRDefault="00675EA6" w:rsidP="00496765">
            <w:pPr>
              <w:jc w:val="center"/>
              <w:rPr>
                <w:rFonts w:ascii="Times New Roman" w:eastAsia="Times New Roman" w:hAnsi="Times New Roman" w:cs="Times New Roman"/>
                <w:sz w:val="20"/>
                <w:szCs w:val="20"/>
              </w:rPr>
            </w:pPr>
            <w:r w:rsidRPr="00210056">
              <w:rPr>
                <w:rFonts w:ascii="Times New Roman" w:eastAsia="Times New Roman" w:hAnsi="Times New Roman" w:cs="Times New Roman"/>
                <w:sz w:val="20"/>
                <w:szCs w:val="20"/>
              </w:rPr>
              <w:t>2007</w:t>
            </w:r>
          </w:p>
        </w:tc>
        <w:tc>
          <w:tcPr>
            <w:tcW w:w="1485" w:type="dxa"/>
            <w:noWrap/>
            <w:hideMark/>
          </w:tcPr>
          <w:p w:rsidR="00675EA6" w:rsidRPr="00210056" w:rsidRDefault="00675EA6" w:rsidP="00496765">
            <w:pPr>
              <w:jc w:val="center"/>
              <w:cnfStyle w:val="000000000000"/>
              <w:rPr>
                <w:rFonts w:ascii="Times New Roman" w:eastAsia="Times New Roman" w:hAnsi="Times New Roman" w:cs="Times New Roman"/>
                <w:sz w:val="20"/>
                <w:szCs w:val="20"/>
              </w:rPr>
            </w:pPr>
            <w:r w:rsidRPr="00210056">
              <w:rPr>
                <w:rFonts w:ascii="Times New Roman" w:eastAsia="Times New Roman" w:hAnsi="Times New Roman" w:cs="Times New Roman"/>
                <w:sz w:val="20"/>
                <w:szCs w:val="20"/>
              </w:rPr>
              <w:t>17,12</w:t>
            </w:r>
          </w:p>
        </w:tc>
        <w:tc>
          <w:tcPr>
            <w:tcW w:w="1418" w:type="dxa"/>
            <w:noWrap/>
            <w:hideMark/>
          </w:tcPr>
          <w:p w:rsidR="00675EA6" w:rsidRPr="00210056" w:rsidRDefault="00675EA6" w:rsidP="00496765">
            <w:pPr>
              <w:jc w:val="center"/>
              <w:cnfStyle w:val="000000000000"/>
              <w:rPr>
                <w:rFonts w:ascii="Times New Roman" w:eastAsia="Times New Roman" w:hAnsi="Times New Roman" w:cs="Times New Roman"/>
                <w:sz w:val="20"/>
                <w:szCs w:val="20"/>
              </w:rPr>
            </w:pPr>
            <w:r w:rsidRPr="00210056">
              <w:rPr>
                <w:rFonts w:ascii="Times New Roman" w:eastAsia="Times New Roman" w:hAnsi="Times New Roman" w:cs="Times New Roman"/>
                <w:sz w:val="20"/>
                <w:szCs w:val="20"/>
              </w:rPr>
              <w:t>69,13</w:t>
            </w:r>
          </w:p>
        </w:tc>
        <w:tc>
          <w:tcPr>
            <w:tcW w:w="1832" w:type="dxa"/>
            <w:noWrap/>
            <w:hideMark/>
          </w:tcPr>
          <w:p w:rsidR="00675EA6" w:rsidRPr="00210056" w:rsidRDefault="00675EA6" w:rsidP="00496765">
            <w:pPr>
              <w:jc w:val="center"/>
              <w:cnfStyle w:val="000000000000"/>
              <w:rPr>
                <w:rFonts w:ascii="Times New Roman" w:eastAsia="Times New Roman" w:hAnsi="Times New Roman" w:cs="Times New Roman"/>
                <w:sz w:val="20"/>
                <w:szCs w:val="20"/>
              </w:rPr>
            </w:pPr>
            <w:r w:rsidRPr="00210056">
              <w:rPr>
                <w:rFonts w:ascii="Times New Roman" w:eastAsia="Times New Roman" w:hAnsi="Times New Roman" w:cs="Times New Roman"/>
                <w:sz w:val="20"/>
                <w:szCs w:val="20"/>
              </w:rPr>
              <w:t>13,75</w:t>
            </w:r>
          </w:p>
        </w:tc>
      </w:tr>
      <w:tr w:rsidR="00675EA6" w:rsidRPr="00210056" w:rsidTr="00695938">
        <w:trPr>
          <w:cnfStyle w:val="000000100000"/>
          <w:trHeight w:val="255"/>
          <w:jc w:val="center"/>
        </w:trPr>
        <w:tc>
          <w:tcPr>
            <w:cnfStyle w:val="001000000000"/>
            <w:tcW w:w="1200" w:type="dxa"/>
            <w:noWrap/>
            <w:hideMark/>
          </w:tcPr>
          <w:p w:rsidR="00675EA6" w:rsidRPr="00210056" w:rsidRDefault="00675EA6" w:rsidP="00496765">
            <w:pPr>
              <w:jc w:val="center"/>
              <w:rPr>
                <w:rFonts w:ascii="Times New Roman" w:eastAsia="Times New Roman" w:hAnsi="Times New Roman" w:cs="Times New Roman"/>
                <w:sz w:val="20"/>
                <w:szCs w:val="20"/>
              </w:rPr>
            </w:pPr>
            <w:r w:rsidRPr="00210056">
              <w:rPr>
                <w:rFonts w:ascii="Times New Roman" w:eastAsia="Times New Roman" w:hAnsi="Times New Roman" w:cs="Times New Roman"/>
                <w:sz w:val="20"/>
                <w:szCs w:val="20"/>
              </w:rPr>
              <w:t>2008</w:t>
            </w:r>
          </w:p>
        </w:tc>
        <w:tc>
          <w:tcPr>
            <w:tcW w:w="1485" w:type="dxa"/>
            <w:noWrap/>
            <w:hideMark/>
          </w:tcPr>
          <w:p w:rsidR="00675EA6" w:rsidRPr="00210056" w:rsidRDefault="00675EA6" w:rsidP="00496765">
            <w:pPr>
              <w:jc w:val="center"/>
              <w:cnfStyle w:val="000000100000"/>
              <w:rPr>
                <w:rFonts w:ascii="Times New Roman" w:eastAsia="Times New Roman" w:hAnsi="Times New Roman" w:cs="Times New Roman"/>
                <w:sz w:val="20"/>
                <w:szCs w:val="20"/>
              </w:rPr>
            </w:pPr>
            <w:r w:rsidRPr="00210056">
              <w:rPr>
                <w:rFonts w:ascii="Times New Roman" w:eastAsia="Times New Roman" w:hAnsi="Times New Roman" w:cs="Times New Roman"/>
                <w:sz w:val="20"/>
                <w:szCs w:val="20"/>
              </w:rPr>
              <w:t>17,18</w:t>
            </w:r>
          </w:p>
        </w:tc>
        <w:tc>
          <w:tcPr>
            <w:tcW w:w="1418" w:type="dxa"/>
            <w:noWrap/>
            <w:hideMark/>
          </w:tcPr>
          <w:p w:rsidR="00675EA6" w:rsidRPr="00210056" w:rsidRDefault="00675EA6" w:rsidP="00496765">
            <w:pPr>
              <w:jc w:val="center"/>
              <w:cnfStyle w:val="000000100000"/>
              <w:rPr>
                <w:rFonts w:ascii="Times New Roman" w:eastAsia="Times New Roman" w:hAnsi="Times New Roman" w:cs="Times New Roman"/>
                <w:sz w:val="20"/>
                <w:szCs w:val="20"/>
              </w:rPr>
            </w:pPr>
            <w:r w:rsidRPr="00210056">
              <w:rPr>
                <w:rFonts w:ascii="Times New Roman" w:eastAsia="Times New Roman" w:hAnsi="Times New Roman" w:cs="Times New Roman"/>
                <w:sz w:val="20"/>
                <w:szCs w:val="20"/>
              </w:rPr>
              <w:t>69,22</w:t>
            </w:r>
          </w:p>
        </w:tc>
        <w:tc>
          <w:tcPr>
            <w:tcW w:w="1832" w:type="dxa"/>
            <w:noWrap/>
            <w:hideMark/>
          </w:tcPr>
          <w:p w:rsidR="00675EA6" w:rsidRPr="00210056" w:rsidRDefault="00675EA6" w:rsidP="00496765">
            <w:pPr>
              <w:jc w:val="center"/>
              <w:cnfStyle w:val="000000100000"/>
              <w:rPr>
                <w:rFonts w:ascii="Times New Roman" w:eastAsia="Times New Roman" w:hAnsi="Times New Roman" w:cs="Times New Roman"/>
                <w:sz w:val="20"/>
                <w:szCs w:val="20"/>
              </w:rPr>
            </w:pPr>
            <w:r w:rsidRPr="00210056">
              <w:rPr>
                <w:rFonts w:ascii="Times New Roman" w:eastAsia="Times New Roman" w:hAnsi="Times New Roman" w:cs="Times New Roman"/>
                <w:sz w:val="20"/>
                <w:szCs w:val="20"/>
              </w:rPr>
              <w:t>13,61</w:t>
            </w:r>
          </w:p>
        </w:tc>
      </w:tr>
      <w:tr w:rsidR="00675EA6" w:rsidRPr="00210056" w:rsidTr="00695938">
        <w:trPr>
          <w:trHeight w:val="255"/>
          <w:jc w:val="center"/>
        </w:trPr>
        <w:tc>
          <w:tcPr>
            <w:cnfStyle w:val="001000000000"/>
            <w:tcW w:w="1200" w:type="dxa"/>
            <w:noWrap/>
            <w:hideMark/>
          </w:tcPr>
          <w:p w:rsidR="00675EA6" w:rsidRPr="00210056" w:rsidRDefault="00675EA6" w:rsidP="00496765">
            <w:pPr>
              <w:jc w:val="center"/>
              <w:rPr>
                <w:rFonts w:ascii="Times New Roman" w:eastAsia="Times New Roman" w:hAnsi="Times New Roman" w:cs="Times New Roman"/>
                <w:sz w:val="20"/>
                <w:szCs w:val="20"/>
              </w:rPr>
            </w:pPr>
            <w:r w:rsidRPr="00210056">
              <w:rPr>
                <w:rFonts w:ascii="Times New Roman" w:eastAsia="Times New Roman" w:hAnsi="Times New Roman" w:cs="Times New Roman"/>
                <w:sz w:val="20"/>
                <w:szCs w:val="20"/>
              </w:rPr>
              <w:t>2009</w:t>
            </w:r>
          </w:p>
        </w:tc>
        <w:tc>
          <w:tcPr>
            <w:tcW w:w="1485" w:type="dxa"/>
            <w:noWrap/>
            <w:hideMark/>
          </w:tcPr>
          <w:p w:rsidR="00675EA6" w:rsidRPr="00210056" w:rsidRDefault="00675EA6" w:rsidP="00496765">
            <w:pPr>
              <w:jc w:val="center"/>
              <w:cnfStyle w:val="000000000000"/>
              <w:rPr>
                <w:rFonts w:ascii="Times New Roman" w:eastAsia="Times New Roman" w:hAnsi="Times New Roman" w:cs="Times New Roman"/>
                <w:sz w:val="20"/>
                <w:szCs w:val="20"/>
              </w:rPr>
            </w:pPr>
            <w:r w:rsidRPr="00210056">
              <w:rPr>
                <w:rFonts w:ascii="Times New Roman" w:eastAsia="Times New Roman" w:hAnsi="Times New Roman" w:cs="Times New Roman"/>
                <w:sz w:val="20"/>
                <w:szCs w:val="20"/>
              </w:rPr>
              <w:t>17,36</w:t>
            </w:r>
          </w:p>
        </w:tc>
        <w:tc>
          <w:tcPr>
            <w:tcW w:w="1418" w:type="dxa"/>
            <w:noWrap/>
            <w:hideMark/>
          </w:tcPr>
          <w:p w:rsidR="00675EA6" w:rsidRPr="00210056" w:rsidRDefault="00675EA6" w:rsidP="00496765">
            <w:pPr>
              <w:jc w:val="center"/>
              <w:cnfStyle w:val="000000000000"/>
              <w:rPr>
                <w:rFonts w:ascii="Times New Roman" w:eastAsia="Times New Roman" w:hAnsi="Times New Roman" w:cs="Times New Roman"/>
                <w:sz w:val="20"/>
                <w:szCs w:val="20"/>
              </w:rPr>
            </w:pPr>
            <w:r w:rsidRPr="00210056">
              <w:rPr>
                <w:rFonts w:ascii="Times New Roman" w:eastAsia="Times New Roman" w:hAnsi="Times New Roman" w:cs="Times New Roman"/>
                <w:sz w:val="20"/>
                <w:szCs w:val="20"/>
              </w:rPr>
              <w:t>68,99</w:t>
            </w:r>
          </w:p>
        </w:tc>
        <w:tc>
          <w:tcPr>
            <w:tcW w:w="1832" w:type="dxa"/>
            <w:noWrap/>
            <w:hideMark/>
          </w:tcPr>
          <w:p w:rsidR="00675EA6" w:rsidRPr="00210056" w:rsidRDefault="00675EA6" w:rsidP="00496765">
            <w:pPr>
              <w:jc w:val="center"/>
              <w:cnfStyle w:val="000000000000"/>
              <w:rPr>
                <w:rFonts w:ascii="Times New Roman" w:eastAsia="Times New Roman" w:hAnsi="Times New Roman" w:cs="Times New Roman"/>
                <w:sz w:val="20"/>
                <w:szCs w:val="20"/>
              </w:rPr>
            </w:pPr>
            <w:r w:rsidRPr="00210056">
              <w:rPr>
                <w:rFonts w:ascii="Times New Roman" w:eastAsia="Times New Roman" w:hAnsi="Times New Roman" w:cs="Times New Roman"/>
                <w:sz w:val="20"/>
                <w:szCs w:val="20"/>
              </w:rPr>
              <w:t>13,65</w:t>
            </w:r>
          </w:p>
        </w:tc>
      </w:tr>
      <w:tr w:rsidR="00675EA6" w:rsidRPr="00210056" w:rsidTr="00695938">
        <w:trPr>
          <w:cnfStyle w:val="000000100000"/>
          <w:trHeight w:val="255"/>
          <w:jc w:val="center"/>
        </w:trPr>
        <w:tc>
          <w:tcPr>
            <w:cnfStyle w:val="001000000000"/>
            <w:tcW w:w="1200" w:type="dxa"/>
            <w:noWrap/>
            <w:hideMark/>
          </w:tcPr>
          <w:p w:rsidR="00675EA6" w:rsidRPr="00210056" w:rsidRDefault="00675EA6" w:rsidP="00496765">
            <w:pPr>
              <w:jc w:val="center"/>
              <w:rPr>
                <w:rFonts w:ascii="Times New Roman" w:eastAsia="Times New Roman" w:hAnsi="Times New Roman" w:cs="Times New Roman"/>
                <w:sz w:val="20"/>
                <w:szCs w:val="20"/>
              </w:rPr>
            </w:pPr>
            <w:r w:rsidRPr="00210056">
              <w:rPr>
                <w:rFonts w:ascii="Times New Roman" w:eastAsia="Times New Roman" w:hAnsi="Times New Roman" w:cs="Times New Roman"/>
                <w:sz w:val="20"/>
                <w:szCs w:val="20"/>
              </w:rPr>
              <w:t>2010</w:t>
            </w:r>
          </w:p>
        </w:tc>
        <w:tc>
          <w:tcPr>
            <w:tcW w:w="1485" w:type="dxa"/>
            <w:noWrap/>
            <w:hideMark/>
          </w:tcPr>
          <w:p w:rsidR="00675EA6" w:rsidRPr="00210056" w:rsidRDefault="00675EA6" w:rsidP="00496765">
            <w:pPr>
              <w:jc w:val="center"/>
              <w:cnfStyle w:val="000000100000"/>
              <w:rPr>
                <w:rFonts w:ascii="Times New Roman" w:eastAsia="Times New Roman" w:hAnsi="Times New Roman" w:cs="Times New Roman"/>
                <w:sz w:val="20"/>
                <w:szCs w:val="20"/>
              </w:rPr>
            </w:pPr>
            <w:r w:rsidRPr="00210056">
              <w:rPr>
                <w:rFonts w:ascii="Times New Roman" w:eastAsia="Times New Roman" w:hAnsi="Times New Roman" w:cs="Times New Roman"/>
                <w:sz w:val="20"/>
                <w:szCs w:val="20"/>
              </w:rPr>
              <w:t>17,55</w:t>
            </w:r>
          </w:p>
        </w:tc>
        <w:tc>
          <w:tcPr>
            <w:tcW w:w="1418" w:type="dxa"/>
            <w:noWrap/>
            <w:hideMark/>
          </w:tcPr>
          <w:p w:rsidR="00675EA6" w:rsidRPr="00210056" w:rsidRDefault="00675EA6" w:rsidP="00496765">
            <w:pPr>
              <w:jc w:val="center"/>
              <w:cnfStyle w:val="000000100000"/>
              <w:rPr>
                <w:rFonts w:ascii="Times New Roman" w:eastAsia="Times New Roman" w:hAnsi="Times New Roman" w:cs="Times New Roman"/>
                <w:sz w:val="20"/>
                <w:szCs w:val="20"/>
              </w:rPr>
            </w:pPr>
            <w:r w:rsidRPr="00210056">
              <w:rPr>
                <w:rFonts w:ascii="Times New Roman" w:eastAsia="Times New Roman" w:hAnsi="Times New Roman" w:cs="Times New Roman"/>
                <w:sz w:val="20"/>
                <w:szCs w:val="20"/>
              </w:rPr>
              <w:t>68,68</w:t>
            </w:r>
          </w:p>
        </w:tc>
        <w:tc>
          <w:tcPr>
            <w:tcW w:w="1832" w:type="dxa"/>
            <w:noWrap/>
            <w:hideMark/>
          </w:tcPr>
          <w:p w:rsidR="00675EA6" w:rsidRPr="00210056" w:rsidRDefault="00675EA6" w:rsidP="00496765">
            <w:pPr>
              <w:jc w:val="center"/>
              <w:cnfStyle w:val="000000100000"/>
              <w:rPr>
                <w:rFonts w:ascii="Times New Roman" w:eastAsia="Times New Roman" w:hAnsi="Times New Roman" w:cs="Times New Roman"/>
                <w:sz w:val="20"/>
                <w:szCs w:val="20"/>
              </w:rPr>
            </w:pPr>
            <w:r w:rsidRPr="00210056">
              <w:rPr>
                <w:rFonts w:ascii="Times New Roman" w:eastAsia="Times New Roman" w:hAnsi="Times New Roman" w:cs="Times New Roman"/>
                <w:sz w:val="20"/>
                <w:szCs w:val="20"/>
              </w:rPr>
              <w:t>13,76</w:t>
            </w:r>
          </w:p>
        </w:tc>
      </w:tr>
      <w:tr w:rsidR="00675EA6" w:rsidRPr="00210056" w:rsidTr="00695938">
        <w:trPr>
          <w:trHeight w:val="255"/>
          <w:jc w:val="center"/>
        </w:trPr>
        <w:tc>
          <w:tcPr>
            <w:cnfStyle w:val="001000000000"/>
            <w:tcW w:w="1200" w:type="dxa"/>
            <w:noWrap/>
            <w:hideMark/>
          </w:tcPr>
          <w:p w:rsidR="00675EA6" w:rsidRPr="00210056" w:rsidRDefault="00675EA6" w:rsidP="00496765">
            <w:pPr>
              <w:jc w:val="center"/>
              <w:rPr>
                <w:rFonts w:ascii="Times New Roman" w:eastAsia="Times New Roman" w:hAnsi="Times New Roman" w:cs="Times New Roman"/>
                <w:sz w:val="20"/>
                <w:szCs w:val="20"/>
              </w:rPr>
            </w:pPr>
            <w:r w:rsidRPr="00210056">
              <w:rPr>
                <w:rFonts w:ascii="Times New Roman" w:eastAsia="Times New Roman" w:hAnsi="Times New Roman" w:cs="Times New Roman"/>
                <w:sz w:val="20"/>
                <w:szCs w:val="20"/>
              </w:rPr>
              <w:t>2011</w:t>
            </w:r>
          </w:p>
        </w:tc>
        <w:tc>
          <w:tcPr>
            <w:tcW w:w="1485" w:type="dxa"/>
            <w:noWrap/>
            <w:hideMark/>
          </w:tcPr>
          <w:p w:rsidR="00675EA6" w:rsidRPr="00210056" w:rsidRDefault="00675EA6" w:rsidP="00496765">
            <w:pPr>
              <w:jc w:val="center"/>
              <w:cnfStyle w:val="000000000000"/>
              <w:rPr>
                <w:rFonts w:ascii="Times New Roman" w:eastAsia="Times New Roman" w:hAnsi="Times New Roman" w:cs="Times New Roman"/>
                <w:sz w:val="20"/>
                <w:szCs w:val="20"/>
              </w:rPr>
            </w:pPr>
            <w:r w:rsidRPr="00210056">
              <w:rPr>
                <w:rFonts w:ascii="Times New Roman" w:eastAsia="Times New Roman" w:hAnsi="Times New Roman" w:cs="Times New Roman"/>
                <w:sz w:val="20"/>
                <w:szCs w:val="20"/>
              </w:rPr>
              <w:t>17,62</w:t>
            </w:r>
          </w:p>
        </w:tc>
        <w:tc>
          <w:tcPr>
            <w:tcW w:w="1418" w:type="dxa"/>
            <w:noWrap/>
            <w:hideMark/>
          </w:tcPr>
          <w:p w:rsidR="00675EA6" w:rsidRPr="00210056" w:rsidRDefault="00675EA6" w:rsidP="00496765">
            <w:pPr>
              <w:jc w:val="center"/>
              <w:cnfStyle w:val="000000000000"/>
              <w:rPr>
                <w:rFonts w:ascii="Times New Roman" w:eastAsia="Times New Roman" w:hAnsi="Times New Roman" w:cs="Times New Roman"/>
                <w:sz w:val="20"/>
                <w:szCs w:val="20"/>
              </w:rPr>
            </w:pPr>
            <w:r w:rsidRPr="00210056">
              <w:rPr>
                <w:rFonts w:ascii="Times New Roman" w:eastAsia="Times New Roman" w:hAnsi="Times New Roman" w:cs="Times New Roman"/>
                <w:sz w:val="20"/>
                <w:szCs w:val="20"/>
              </w:rPr>
              <w:t>68,32</w:t>
            </w:r>
          </w:p>
        </w:tc>
        <w:tc>
          <w:tcPr>
            <w:tcW w:w="1832" w:type="dxa"/>
            <w:noWrap/>
            <w:hideMark/>
          </w:tcPr>
          <w:p w:rsidR="00675EA6" w:rsidRPr="00210056" w:rsidRDefault="00675EA6" w:rsidP="00496765">
            <w:pPr>
              <w:jc w:val="center"/>
              <w:cnfStyle w:val="000000000000"/>
              <w:rPr>
                <w:rFonts w:ascii="Times New Roman" w:eastAsia="Times New Roman" w:hAnsi="Times New Roman" w:cs="Times New Roman"/>
                <w:sz w:val="20"/>
                <w:szCs w:val="20"/>
              </w:rPr>
            </w:pPr>
            <w:r w:rsidRPr="00210056">
              <w:rPr>
                <w:rFonts w:ascii="Times New Roman" w:eastAsia="Times New Roman" w:hAnsi="Times New Roman" w:cs="Times New Roman"/>
                <w:sz w:val="20"/>
                <w:szCs w:val="20"/>
              </w:rPr>
              <w:t>14,05</w:t>
            </w:r>
          </w:p>
        </w:tc>
      </w:tr>
      <w:tr w:rsidR="00675EA6" w:rsidRPr="00210056" w:rsidTr="00695938">
        <w:trPr>
          <w:cnfStyle w:val="000000100000"/>
          <w:trHeight w:val="255"/>
          <w:jc w:val="center"/>
        </w:trPr>
        <w:tc>
          <w:tcPr>
            <w:cnfStyle w:val="001000000000"/>
            <w:tcW w:w="1200" w:type="dxa"/>
            <w:noWrap/>
            <w:hideMark/>
          </w:tcPr>
          <w:p w:rsidR="00675EA6" w:rsidRPr="00210056" w:rsidRDefault="00675EA6" w:rsidP="00496765">
            <w:pPr>
              <w:jc w:val="center"/>
              <w:rPr>
                <w:rFonts w:ascii="Times New Roman" w:eastAsia="Times New Roman" w:hAnsi="Times New Roman" w:cs="Times New Roman"/>
                <w:sz w:val="20"/>
                <w:szCs w:val="20"/>
              </w:rPr>
            </w:pPr>
            <w:r w:rsidRPr="00210056">
              <w:rPr>
                <w:rFonts w:ascii="Times New Roman" w:eastAsia="Times New Roman" w:hAnsi="Times New Roman" w:cs="Times New Roman"/>
                <w:sz w:val="20"/>
                <w:szCs w:val="20"/>
              </w:rPr>
              <w:t>2012</w:t>
            </w:r>
          </w:p>
        </w:tc>
        <w:tc>
          <w:tcPr>
            <w:tcW w:w="1485" w:type="dxa"/>
            <w:noWrap/>
            <w:hideMark/>
          </w:tcPr>
          <w:p w:rsidR="00675EA6" w:rsidRPr="00210056" w:rsidRDefault="00675EA6" w:rsidP="00496765">
            <w:pPr>
              <w:jc w:val="center"/>
              <w:cnfStyle w:val="000000100000"/>
              <w:rPr>
                <w:rFonts w:ascii="Times New Roman" w:eastAsia="Times New Roman" w:hAnsi="Times New Roman" w:cs="Times New Roman"/>
                <w:sz w:val="20"/>
                <w:szCs w:val="20"/>
              </w:rPr>
            </w:pPr>
            <w:r w:rsidRPr="00210056">
              <w:rPr>
                <w:rFonts w:ascii="Times New Roman" w:eastAsia="Times New Roman" w:hAnsi="Times New Roman" w:cs="Times New Roman"/>
                <w:sz w:val="20"/>
                <w:szCs w:val="20"/>
              </w:rPr>
              <w:t>17,63</w:t>
            </w:r>
          </w:p>
        </w:tc>
        <w:tc>
          <w:tcPr>
            <w:tcW w:w="1418" w:type="dxa"/>
            <w:noWrap/>
            <w:hideMark/>
          </w:tcPr>
          <w:p w:rsidR="00675EA6" w:rsidRPr="00210056" w:rsidRDefault="00675EA6" w:rsidP="00496765">
            <w:pPr>
              <w:jc w:val="center"/>
              <w:cnfStyle w:val="000000100000"/>
              <w:rPr>
                <w:rFonts w:ascii="Times New Roman" w:eastAsia="Times New Roman" w:hAnsi="Times New Roman" w:cs="Times New Roman"/>
                <w:sz w:val="20"/>
                <w:szCs w:val="20"/>
              </w:rPr>
            </w:pPr>
            <w:r w:rsidRPr="00210056">
              <w:rPr>
                <w:rFonts w:ascii="Times New Roman" w:eastAsia="Times New Roman" w:hAnsi="Times New Roman" w:cs="Times New Roman"/>
                <w:sz w:val="20"/>
                <w:szCs w:val="20"/>
              </w:rPr>
              <w:t>68,07</w:t>
            </w:r>
          </w:p>
        </w:tc>
        <w:tc>
          <w:tcPr>
            <w:tcW w:w="1832" w:type="dxa"/>
            <w:noWrap/>
            <w:hideMark/>
          </w:tcPr>
          <w:p w:rsidR="00675EA6" w:rsidRPr="00210056" w:rsidRDefault="00675EA6" w:rsidP="00496765">
            <w:pPr>
              <w:jc w:val="center"/>
              <w:cnfStyle w:val="000000100000"/>
              <w:rPr>
                <w:rFonts w:ascii="Times New Roman" w:eastAsia="Times New Roman" w:hAnsi="Times New Roman" w:cs="Times New Roman"/>
                <w:sz w:val="20"/>
                <w:szCs w:val="20"/>
              </w:rPr>
            </w:pPr>
            <w:r w:rsidRPr="00210056">
              <w:rPr>
                <w:rFonts w:ascii="Times New Roman" w:eastAsia="Times New Roman" w:hAnsi="Times New Roman" w:cs="Times New Roman"/>
                <w:sz w:val="20"/>
                <w:szCs w:val="20"/>
              </w:rPr>
              <w:t>14,30</w:t>
            </w:r>
          </w:p>
        </w:tc>
      </w:tr>
      <w:tr w:rsidR="00675EA6" w:rsidRPr="00210056" w:rsidTr="00695938">
        <w:trPr>
          <w:trHeight w:val="255"/>
          <w:jc w:val="center"/>
        </w:trPr>
        <w:tc>
          <w:tcPr>
            <w:cnfStyle w:val="001000000000"/>
            <w:tcW w:w="1200" w:type="dxa"/>
            <w:noWrap/>
            <w:hideMark/>
          </w:tcPr>
          <w:p w:rsidR="00675EA6" w:rsidRPr="00210056" w:rsidRDefault="00675EA6" w:rsidP="00496765">
            <w:pPr>
              <w:jc w:val="center"/>
              <w:rPr>
                <w:rFonts w:ascii="Times New Roman" w:eastAsia="Times New Roman" w:hAnsi="Times New Roman" w:cs="Times New Roman"/>
                <w:sz w:val="20"/>
                <w:szCs w:val="20"/>
              </w:rPr>
            </w:pPr>
            <w:r w:rsidRPr="00210056">
              <w:rPr>
                <w:rFonts w:ascii="Times New Roman" w:eastAsia="Times New Roman" w:hAnsi="Times New Roman" w:cs="Times New Roman"/>
                <w:sz w:val="20"/>
                <w:szCs w:val="20"/>
              </w:rPr>
              <w:t>2013</w:t>
            </w:r>
          </w:p>
        </w:tc>
        <w:tc>
          <w:tcPr>
            <w:tcW w:w="1485" w:type="dxa"/>
            <w:noWrap/>
            <w:hideMark/>
          </w:tcPr>
          <w:p w:rsidR="00675EA6" w:rsidRPr="00210056" w:rsidRDefault="00675EA6" w:rsidP="00496765">
            <w:pPr>
              <w:jc w:val="center"/>
              <w:cnfStyle w:val="000000000000"/>
              <w:rPr>
                <w:rFonts w:ascii="Times New Roman" w:eastAsia="Times New Roman" w:hAnsi="Times New Roman" w:cs="Times New Roman"/>
                <w:sz w:val="20"/>
                <w:szCs w:val="20"/>
              </w:rPr>
            </w:pPr>
            <w:r w:rsidRPr="00210056">
              <w:rPr>
                <w:rFonts w:ascii="Times New Roman" w:eastAsia="Times New Roman" w:hAnsi="Times New Roman" w:cs="Times New Roman"/>
                <w:sz w:val="20"/>
                <w:szCs w:val="20"/>
              </w:rPr>
              <w:t>17,66</w:t>
            </w:r>
          </w:p>
        </w:tc>
        <w:tc>
          <w:tcPr>
            <w:tcW w:w="1418" w:type="dxa"/>
            <w:noWrap/>
            <w:hideMark/>
          </w:tcPr>
          <w:p w:rsidR="00675EA6" w:rsidRPr="00210056" w:rsidRDefault="00675EA6" w:rsidP="00496765">
            <w:pPr>
              <w:jc w:val="center"/>
              <w:cnfStyle w:val="000000000000"/>
              <w:rPr>
                <w:rFonts w:ascii="Times New Roman" w:eastAsia="Times New Roman" w:hAnsi="Times New Roman" w:cs="Times New Roman"/>
                <w:sz w:val="20"/>
                <w:szCs w:val="20"/>
              </w:rPr>
            </w:pPr>
            <w:r w:rsidRPr="00210056">
              <w:rPr>
                <w:rFonts w:ascii="Times New Roman" w:eastAsia="Times New Roman" w:hAnsi="Times New Roman" w:cs="Times New Roman"/>
                <w:sz w:val="20"/>
                <w:szCs w:val="20"/>
              </w:rPr>
              <w:t>67,81</w:t>
            </w:r>
          </w:p>
        </w:tc>
        <w:tc>
          <w:tcPr>
            <w:tcW w:w="1832" w:type="dxa"/>
            <w:noWrap/>
            <w:hideMark/>
          </w:tcPr>
          <w:p w:rsidR="00675EA6" w:rsidRPr="00210056" w:rsidRDefault="00675EA6" w:rsidP="00496765">
            <w:pPr>
              <w:jc w:val="center"/>
              <w:cnfStyle w:val="000000000000"/>
              <w:rPr>
                <w:rFonts w:ascii="Times New Roman" w:eastAsia="Times New Roman" w:hAnsi="Times New Roman" w:cs="Times New Roman"/>
                <w:sz w:val="20"/>
                <w:szCs w:val="20"/>
              </w:rPr>
            </w:pPr>
            <w:r w:rsidRPr="00210056">
              <w:rPr>
                <w:rFonts w:ascii="Times New Roman" w:eastAsia="Times New Roman" w:hAnsi="Times New Roman" w:cs="Times New Roman"/>
                <w:sz w:val="20"/>
                <w:szCs w:val="20"/>
              </w:rPr>
              <w:t>14,53</w:t>
            </w:r>
          </w:p>
        </w:tc>
      </w:tr>
      <w:tr w:rsidR="00183BCF" w:rsidRPr="00210056" w:rsidTr="00695938">
        <w:trPr>
          <w:cnfStyle w:val="000000100000"/>
          <w:trHeight w:val="255"/>
          <w:jc w:val="center"/>
        </w:trPr>
        <w:tc>
          <w:tcPr>
            <w:cnfStyle w:val="001000000000"/>
            <w:tcW w:w="1200" w:type="dxa"/>
            <w:noWrap/>
            <w:hideMark/>
          </w:tcPr>
          <w:p w:rsidR="00183BCF" w:rsidRPr="00210056" w:rsidRDefault="00183BCF" w:rsidP="00496765">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2014</w:t>
            </w:r>
          </w:p>
        </w:tc>
        <w:tc>
          <w:tcPr>
            <w:tcW w:w="1485" w:type="dxa"/>
            <w:noWrap/>
            <w:hideMark/>
          </w:tcPr>
          <w:p w:rsidR="00183BCF" w:rsidRPr="00210056" w:rsidRDefault="00183BCF" w:rsidP="00496765">
            <w:pPr>
              <w:jc w:val="center"/>
              <w:cnfStyle w:val="000000100000"/>
              <w:rPr>
                <w:rFonts w:ascii="Times New Roman" w:eastAsia="Times New Roman" w:hAnsi="Times New Roman" w:cs="Times New Roman"/>
                <w:sz w:val="20"/>
                <w:szCs w:val="20"/>
              </w:rPr>
            </w:pPr>
            <w:r>
              <w:rPr>
                <w:rFonts w:ascii="Times New Roman" w:eastAsia="Times New Roman" w:hAnsi="Times New Roman" w:cs="Times New Roman"/>
                <w:sz w:val="20"/>
                <w:szCs w:val="20"/>
              </w:rPr>
              <w:t>17,71</w:t>
            </w:r>
          </w:p>
        </w:tc>
        <w:tc>
          <w:tcPr>
            <w:tcW w:w="1418" w:type="dxa"/>
            <w:noWrap/>
            <w:hideMark/>
          </w:tcPr>
          <w:p w:rsidR="00183BCF" w:rsidRPr="00210056" w:rsidRDefault="00183BCF" w:rsidP="00496765">
            <w:pPr>
              <w:jc w:val="center"/>
              <w:cnfStyle w:val="000000100000"/>
              <w:rPr>
                <w:rFonts w:ascii="Times New Roman" w:eastAsia="Times New Roman" w:hAnsi="Times New Roman" w:cs="Times New Roman"/>
                <w:sz w:val="20"/>
                <w:szCs w:val="20"/>
              </w:rPr>
            </w:pPr>
            <w:r>
              <w:rPr>
                <w:rFonts w:ascii="Times New Roman" w:eastAsia="Times New Roman" w:hAnsi="Times New Roman" w:cs="Times New Roman"/>
                <w:sz w:val="20"/>
                <w:szCs w:val="20"/>
              </w:rPr>
              <w:t>67,54</w:t>
            </w:r>
          </w:p>
        </w:tc>
        <w:tc>
          <w:tcPr>
            <w:tcW w:w="1832" w:type="dxa"/>
            <w:noWrap/>
            <w:hideMark/>
          </w:tcPr>
          <w:p w:rsidR="00183BCF" w:rsidRPr="00210056" w:rsidRDefault="00183BCF" w:rsidP="00496765">
            <w:pPr>
              <w:jc w:val="center"/>
              <w:cnfStyle w:val="000000100000"/>
              <w:rPr>
                <w:rFonts w:ascii="Times New Roman" w:eastAsia="Times New Roman" w:hAnsi="Times New Roman" w:cs="Times New Roman"/>
                <w:sz w:val="20"/>
                <w:szCs w:val="20"/>
              </w:rPr>
            </w:pPr>
            <w:r>
              <w:rPr>
                <w:rFonts w:ascii="Times New Roman" w:eastAsia="Times New Roman" w:hAnsi="Times New Roman" w:cs="Times New Roman"/>
                <w:sz w:val="20"/>
                <w:szCs w:val="20"/>
              </w:rPr>
              <w:t>14,75</w:t>
            </w:r>
          </w:p>
        </w:tc>
      </w:tr>
    </w:tbl>
    <w:p w:rsidR="00210056" w:rsidRDefault="00675EA6" w:rsidP="00AC6953">
      <w:pPr>
        <w:jc w:val="both"/>
        <w:rPr>
          <w:rFonts w:ascii="Times New Roman" w:hAnsi="Times New Roman" w:cs="Times New Roman"/>
          <w:bCs/>
          <w:sz w:val="24"/>
          <w:szCs w:val="24"/>
        </w:rPr>
      </w:pPr>
      <w:r w:rsidRPr="00675EA6">
        <w:rPr>
          <w:rFonts w:ascii="Times New Roman" w:hAnsi="Times New Roman" w:cs="Times New Roman"/>
          <w:sz w:val="24"/>
          <w:szCs w:val="24"/>
        </w:rPr>
        <w:t>Fuente: Elaboración propia a partir de los datos extraídos del CREM. Padrón municipal de habitantes (varios años)</w:t>
      </w:r>
      <w:r w:rsidRPr="00675EA6">
        <w:rPr>
          <w:rFonts w:ascii="Times New Roman" w:hAnsi="Times New Roman" w:cs="Times New Roman"/>
          <w:bCs/>
          <w:sz w:val="24"/>
          <w:szCs w:val="24"/>
        </w:rPr>
        <w:t>.</w:t>
      </w:r>
    </w:p>
    <w:p w:rsidR="00AC6953" w:rsidRPr="00AC6953" w:rsidRDefault="00AC6953" w:rsidP="00AC6953">
      <w:pPr>
        <w:jc w:val="both"/>
        <w:rPr>
          <w:rFonts w:ascii="Times New Roman" w:hAnsi="Times New Roman" w:cs="Times New Roman"/>
          <w:bCs/>
          <w:szCs w:val="24"/>
        </w:rPr>
      </w:pPr>
    </w:p>
    <w:p w:rsidR="00474A75" w:rsidRDefault="00474A75" w:rsidP="00474A75">
      <w:pPr>
        <w:jc w:val="center"/>
        <w:rPr>
          <w:rFonts w:ascii="Times New Roman" w:hAnsi="Times New Roman" w:cs="Times New Roman"/>
          <w:sz w:val="24"/>
          <w:szCs w:val="24"/>
        </w:rPr>
      </w:pPr>
      <w:commentRangeStart w:id="10"/>
      <w:r>
        <w:rPr>
          <w:rFonts w:ascii="Times New Roman" w:hAnsi="Times New Roman" w:cs="Times New Roman"/>
          <w:sz w:val="24"/>
          <w:szCs w:val="24"/>
        </w:rPr>
        <w:t>FIGURA 2</w:t>
      </w:r>
    </w:p>
    <w:p w:rsidR="00675EA6" w:rsidRPr="00675EA6" w:rsidRDefault="00675EA6" w:rsidP="00474A75">
      <w:pPr>
        <w:jc w:val="center"/>
        <w:rPr>
          <w:rFonts w:ascii="Times New Roman" w:hAnsi="Times New Roman" w:cs="Times New Roman"/>
          <w:sz w:val="24"/>
          <w:szCs w:val="24"/>
        </w:rPr>
      </w:pPr>
      <w:r w:rsidRPr="00675EA6">
        <w:rPr>
          <w:rFonts w:ascii="Times New Roman" w:hAnsi="Times New Roman" w:cs="Times New Roman"/>
          <w:sz w:val="24"/>
          <w:szCs w:val="24"/>
        </w:rPr>
        <w:t xml:space="preserve"> Evolución de la esperanza de vida al nacimiento para </w:t>
      </w:r>
      <w:r w:rsidR="00EE33DE">
        <w:rPr>
          <w:rFonts w:ascii="Times New Roman" w:hAnsi="Times New Roman" w:cs="Times New Roman"/>
          <w:sz w:val="24"/>
          <w:szCs w:val="24"/>
        </w:rPr>
        <w:t>la Región de Murcia (1991-2013</w:t>
      </w:r>
      <w:r w:rsidR="00474A75">
        <w:rPr>
          <w:rFonts w:ascii="Times New Roman" w:hAnsi="Times New Roman" w:cs="Times New Roman"/>
          <w:sz w:val="24"/>
          <w:szCs w:val="24"/>
        </w:rPr>
        <w:t>)</w:t>
      </w:r>
    </w:p>
    <w:commentRangeEnd w:id="10"/>
    <w:p w:rsidR="00675EA6" w:rsidRPr="00675EA6" w:rsidRDefault="00EE33DE" w:rsidP="00AC6953">
      <w:pPr>
        <w:jc w:val="center"/>
        <w:rPr>
          <w:rFonts w:ascii="Times New Roman" w:hAnsi="Times New Roman" w:cs="Times New Roman"/>
          <w:sz w:val="24"/>
          <w:szCs w:val="24"/>
        </w:rPr>
      </w:pPr>
      <w:r>
        <w:rPr>
          <w:rStyle w:val="Refdecomentario"/>
        </w:rPr>
        <w:commentReference w:id="10"/>
      </w:r>
      <w:r w:rsidR="00675EA6" w:rsidRPr="00675EA6">
        <w:rPr>
          <w:rFonts w:ascii="Times New Roman" w:hAnsi="Times New Roman" w:cs="Times New Roman"/>
          <w:noProof/>
          <w:sz w:val="24"/>
          <w:szCs w:val="24"/>
          <w:lang w:eastAsia="es-ES"/>
        </w:rPr>
        <w:drawing>
          <wp:inline distT="0" distB="0" distL="0" distR="0">
            <wp:extent cx="4195445" cy="2955341"/>
            <wp:effectExtent l="19050" t="0" r="14605" b="0"/>
            <wp:docPr id="30" name="Gráfico 1"/>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rsidR="00EE33DE" w:rsidRPr="00EE33DE" w:rsidRDefault="00EE33DE" w:rsidP="00AC6953">
      <w:pPr>
        <w:jc w:val="both"/>
        <w:rPr>
          <w:rFonts w:ascii="Times New Roman" w:eastAsia="Times New Roman" w:hAnsi="Times New Roman" w:cs="Times New Roman"/>
          <w:bCs/>
          <w:color w:val="000000"/>
          <w:sz w:val="24"/>
          <w:szCs w:val="24"/>
        </w:rPr>
      </w:pPr>
      <w:r w:rsidRPr="00EE33DE">
        <w:rPr>
          <w:rFonts w:ascii="Times New Roman" w:eastAsia="Times New Roman" w:hAnsi="Times New Roman" w:cs="Times New Roman"/>
          <w:color w:val="000000"/>
          <w:sz w:val="24"/>
          <w:szCs w:val="24"/>
        </w:rPr>
        <w:t>Fuente: Elaboración propia a partir de los datos extraídos del INE.</w:t>
      </w:r>
    </w:p>
    <w:p w:rsidR="00675EA6" w:rsidRPr="00675EA6" w:rsidRDefault="00675EA6" w:rsidP="00210056">
      <w:pPr>
        <w:spacing w:line="360" w:lineRule="auto"/>
        <w:ind w:firstLine="284"/>
        <w:jc w:val="both"/>
        <w:rPr>
          <w:rFonts w:ascii="Times New Roman" w:hAnsi="Times New Roman" w:cs="Times New Roman"/>
          <w:sz w:val="24"/>
          <w:szCs w:val="24"/>
        </w:rPr>
      </w:pPr>
      <w:r w:rsidRPr="00675EA6">
        <w:rPr>
          <w:rFonts w:ascii="Times New Roman" w:hAnsi="Times New Roman" w:cs="Times New Roman"/>
          <w:sz w:val="24"/>
          <w:szCs w:val="24"/>
        </w:rPr>
        <w:lastRenderedPageBreak/>
        <w:t xml:space="preserve">Estas diferencias </w:t>
      </w:r>
      <w:r w:rsidR="005D74A8">
        <w:rPr>
          <w:rFonts w:ascii="Times New Roman" w:hAnsi="Times New Roman" w:cs="Times New Roman"/>
          <w:sz w:val="24"/>
          <w:szCs w:val="24"/>
        </w:rPr>
        <w:t xml:space="preserve">por sexo </w:t>
      </w:r>
      <w:r w:rsidRPr="00675EA6">
        <w:rPr>
          <w:rFonts w:ascii="Times New Roman" w:hAnsi="Times New Roman" w:cs="Times New Roman"/>
          <w:sz w:val="24"/>
          <w:szCs w:val="24"/>
        </w:rPr>
        <w:t>se deben a la sobremortalidad masculina</w:t>
      </w:r>
      <w:r w:rsidR="005D74A8">
        <w:rPr>
          <w:rFonts w:ascii="Times New Roman" w:hAnsi="Times New Roman" w:cs="Times New Roman"/>
          <w:sz w:val="24"/>
          <w:szCs w:val="24"/>
        </w:rPr>
        <w:t>, propia</w:t>
      </w:r>
      <w:r w:rsidRPr="00675EA6">
        <w:rPr>
          <w:rFonts w:ascii="Times New Roman" w:hAnsi="Times New Roman" w:cs="Times New Roman"/>
          <w:sz w:val="24"/>
          <w:szCs w:val="24"/>
        </w:rPr>
        <w:t xml:space="preserve"> en los países desarrollados. Por un lado, las investigaciones han demostrado que la sobremortalidad masculina aparece con el predominio de las enfermedades degenerativas y la extensión de modos de vida y hábitos nocivos, como son el estrés, el tabaquismo y el alcoholismo, entre otros. Por otro lado, la esperanza de vida es mayor para las mujeres al poseer mayor fortaleza biológica por motivos hormonales e inmunológicos. Sin embargo, se prevé que las diferencias en cuanto a la mortalidad de varones y mujeres disminuirán en los grupos de edad mayores, debido a las propias características del proceso de envejecimiento y a la difusión de modos de vida y hábitos semejantes entre ambos sexos (</w:t>
      </w:r>
      <w:r w:rsidR="00077DD7" w:rsidRPr="00675EA6">
        <w:rPr>
          <w:rFonts w:ascii="Times New Roman" w:hAnsi="Times New Roman" w:cs="Times New Roman"/>
          <w:sz w:val="24"/>
          <w:szCs w:val="24"/>
        </w:rPr>
        <w:t>LORENZO CARRASCOSA</w:t>
      </w:r>
      <w:r w:rsidRPr="00675EA6">
        <w:rPr>
          <w:rFonts w:ascii="Times New Roman" w:hAnsi="Times New Roman" w:cs="Times New Roman"/>
          <w:sz w:val="24"/>
          <w:szCs w:val="24"/>
        </w:rPr>
        <w:t>, 2004).</w:t>
      </w:r>
    </w:p>
    <w:p w:rsidR="00675EA6" w:rsidRPr="00675EA6" w:rsidRDefault="009F3012" w:rsidP="00210056">
      <w:pPr>
        <w:spacing w:line="360" w:lineRule="auto"/>
        <w:ind w:firstLine="284"/>
        <w:jc w:val="both"/>
        <w:rPr>
          <w:rFonts w:ascii="Times New Roman" w:hAnsi="Times New Roman" w:cs="Times New Roman"/>
          <w:sz w:val="24"/>
          <w:szCs w:val="24"/>
        </w:rPr>
      </w:pPr>
      <w:r>
        <w:rPr>
          <w:rFonts w:ascii="Times New Roman" w:hAnsi="Times New Roman" w:cs="Times New Roman"/>
          <w:sz w:val="24"/>
          <w:szCs w:val="24"/>
        </w:rPr>
        <w:t>D</w:t>
      </w:r>
      <w:r w:rsidR="00675EA6" w:rsidRPr="00675EA6">
        <w:rPr>
          <w:rFonts w:ascii="Times New Roman" w:hAnsi="Times New Roman" w:cs="Times New Roman"/>
          <w:sz w:val="24"/>
          <w:szCs w:val="24"/>
        </w:rPr>
        <w:t xml:space="preserve">esde finales </w:t>
      </w:r>
      <w:r>
        <w:rPr>
          <w:rFonts w:ascii="Times New Roman" w:hAnsi="Times New Roman" w:cs="Times New Roman"/>
          <w:sz w:val="24"/>
          <w:szCs w:val="24"/>
        </w:rPr>
        <w:t>de la transición demográfica ha</w:t>
      </w:r>
      <w:r w:rsidR="00675EA6" w:rsidRPr="00675EA6">
        <w:rPr>
          <w:rFonts w:ascii="Times New Roman" w:hAnsi="Times New Roman" w:cs="Times New Roman"/>
          <w:sz w:val="24"/>
          <w:szCs w:val="24"/>
        </w:rPr>
        <w:t xml:space="preserve"> tenido lugar una serie de cambios que han dado paso a una nueva realidad</w:t>
      </w:r>
      <w:r>
        <w:rPr>
          <w:rFonts w:ascii="Times New Roman" w:hAnsi="Times New Roman" w:cs="Times New Roman"/>
          <w:sz w:val="24"/>
          <w:szCs w:val="24"/>
        </w:rPr>
        <w:t>, c</w:t>
      </w:r>
      <w:r w:rsidRPr="009F3012">
        <w:rPr>
          <w:rFonts w:ascii="Times New Roman" w:hAnsi="Times New Roman" w:cs="Times New Roman"/>
          <w:sz w:val="24"/>
          <w:szCs w:val="24"/>
        </w:rPr>
        <w:t>omplementario al aumento de la esperanza de vida</w:t>
      </w:r>
      <w:r>
        <w:rPr>
          <w:rFonts w:ascii="Times New Roman" w:hAnsi="Times New Roman" w:cs="Times New Roman"/>
          <w:sz w:val="24"/>
          <w:szCs w:val="24"/>
        </w:rPr>
        <w:t>.</w:t>
      </w:r>
      <w:r w:rsidRPr="009F3012">
        <w:rPr>
          <w:rFonts w:ascii="Times New Roman" w:hAnsi="Times New Roman" w:cs="Times New Roman"/>
          <w:sz w:val="24"/>
          <w:szCs w:val="24"/>
        </w:rPr>
        <w:t xml:space="preserve"> </w:t>
      </w:r>
      <w:r w:rsidR="00675EA6" w:rsidRPr="00675EA6">
        <w:rPr>
          <w:rFonts w:ascii="Times New Roman" w:hAnsi="Times New Roman" w:cs="Times New Roman"/>
          <w:sz w:val="24"/>
          <w:szCs w:val="24"/>
        </w:rPr>
        <w:t xml:space="preserve"> Las formas de vida tradicionales han ido perdiéndose, la mentalidad ha cambiado y los hijos no son apreciados del mismo modo que antes, ya que no son tan necesarios como lo fueron en el pasado. Este hecho ocasiona una pérdida significativa de la natalidad, reflejado en el retraso de la edad </w:t>
      </w:r>
      <w:r w:rsidR="00793D41">
        <w:rPr>
          <w:rFonts w:ascii="Times New Roman" w:hAnsi="Times New Roman" w:cs="Times New Roman"/>
          <w:sz w:val="24"/>
          <w:szCs w:val="24"/>
        </w:rPr>
        <w:t>media de la maternidad (Figura 3</w:t>
      </w:r>
      <w:r w:rsidR="00675EA6" w:rsidRPr="00675EA6">
        <w:rPr>
          <w:rFonts w:ascii="Times New Roman" w:hAnsi="Times New Roman" w:cs="Times New Roman"/>
          <w:sz w:val="24"/>
          <w:szCs w:val="24"/>
        </w:rPr>
        <w:t xml:space="preserve">). </w:t>
      </w:r>
    </w:p>
    <w:p w:rsidR="00675EA6" w:rsidRDefault="00675EA6" w:rsidP="00210056">
      <w:pPr>
        <w:spacing w:line="360" w:lineRule="auto"/>
        <w:ind w:firstLine="284"/>
        <w:jc w:val="both"/>
        <w:rPr>
          <w:rFonts w:ascii="Times New Roman" w:hAnsi="Times New Roman" w:cs="Times New Roman"/>
          <w:b/>
          <w:sz w:val="24"/>
          <w:szCs w:val="24"/>
        </w:rPr>
      </w:pPr>
      <w:r w:rsidRPr="00675EA6">
        <w:rPr>
          <w:rFonts w:ascii="Times New Roman" w:hAnsi="Times New Roman" w:cs="Times New Roman"/>
          <w:sz w:val="24"/>
          <w:szCs w:val="24"/>
        </w:rPr>
        <w:t>La edad media de</w:t>
      </w:r>
      <w:r w:rsidR="007B07C5">
        <w:rPr>
          <w:rFonts w:ascii="Times New Roman" w:hAnsi="Times New Roman" w:cs="Times New Roman"/>
          <w:sz w:val="24"/>
          <w:szCs w:val="24"/>
        </w:rPr>
        <w:t xml:space="preserve"> la maternidad ha pasado de los</w:t>
      </w:r>
      <w:r w:rsidRPr="00675EA6">
        <w:rPr>
          <w:rFonts w:ascii="Times New Roman" w:hAnsi="Times New Roman" w:cs="Times New Roman"/>
          <w:sz w:val="24"/>
          <w:szCs w:val="24"/>
        </w:rPr>
        <w:t xml:space="preserve"> 29 años en 1991 a casi </w:t>
      </w:r>
      <w:r w:rsidR="007B07C5">
        <w:rPr>
          <w:rFonts w:ascii="Times New Roman" w:hAnsi="Times New Roman" w:cs="Times New Roman"/>
          <w:sz w:val="24"/>
          <w:szCs w:val="24"/>
        </w:rPr>
        <w:t xml:space="preserve">los </w:t>
      </w:r>
      <w:r w:rsidRPr="00675EA6">
        <w:rPr>
          <w:rFonts w:ascii="Times New Roman" w:hAnsi="Times New Roman" w:cs="Times New Roman"/>
          <w:sz w:val="24"/>
          <w:szCs w:val="24"/>
        </w:rPr>
        <w:t xml:space="preserve">31 en 2012. Esto hace que el primer hijo sea más tardío y haya menos posibilidades de concebir otro, de manera que la fecundidad va disminuyendo conforme pasan los años (Figura </w:t>
      </w:r>
      <w:r w:rsidR="00793D41">
        <w:rPr>
          <w:rFonts w:ascii="Times New Roman" w:hAnsi="Times New Roman" w:cs="Times New Roman"/>
          <w:sz w:val="24"/>
          <w:szCs w:val="24"/>
        </w:rPr>
        <w:t>4</w:t>
      </w:r>
      <w:r w:rsidRPr="00675EA6">
        <w:rPr>
          <w:rFonts w:ascii="Times New Roman" w:hAnsi="Times New Roman" w:cs="Times New Roman"/>
          <w:sz w:val="24"/>
          <w:szCs w:val="24"/>
        </w:rPr>
        <w:t>). Desde 1991 hasta 201</w:t>
      </w:r>
      <w:r w:rsidR="004A0F66">
        <w:rPr>
          <w:rFonts w:ascii="Times New Roman" w:hAnsi="Times New Roman" w:cs="Times New Roman"/>
          <w:sz w:val="24"/>
          <w:szCs w:val="24"/>
        </w:rPr>
        <w:t>3</w:t>
      </w:r>
      <w:r w:rsidR="007B07C5">
        <w:rPr>
          <w:rFonts w:ascii="Times New Roman" w:hAnsi="Times New Roman" w:cs="Times New Roman"/>
          <w:sz w:val="24"/>
          <w:szCs w:val="24"/>
        </w:rPr>
        <w:t>,</w:t>
      </w:r>
      <w:r w:rsidRPr="00675EA6">
        <w:rPr>
          <w:rFonts w:ascii="Times New Roman" w:hAnsi="Times New Roman" w:cs="Times New Roman"/>
          <w:sz w:val="24"/>
          <w:szCs w:val="24"/>
        </w:rPr>
        <w:t xml:space="preserve"> la fecundidad experimenta una alteración si</w:t>
      </w:r>
      <w:r w:rsidR="009F3012">
        <w:rPr>
          <w:rFonts w:ascii="Times New Roman" w:hAnsi="Times New Roman" w:cs="Times New Roman"/>
          <w:sz w:val="24"/>
          <w:szCs w:val="24"/>
        </w:rPr>
        <w:t>gnificativa, ya que por un lado reduce su tasa y por otro</w:t>
      </w:r>
      <w:r w:rsidRPr="00675EA6">
        <w:rPr>
          <w:rFonts w:ascii="Times New Roman" w:hAnsi="Times New Roman" w:cs="Times New Roman"/>
          <w:sz w:val="24"/>
          <w:szCs w:val="24"/>
        </w:rPr>
        <w:t xml:space="preserve"> las mayores tasas han pasado de los 25-29 años hacia los 30-34. </w:t>
      </w:r>
    </w:p>
    <w:p w:rsidR="005D74A8" w:rsidRPr="005D74A8" w:rsidRDefault="005D74A8" w:rsidP="007A4C9F">
      <w:pPr>
        <w:spacing w:line="360" w:lineRule="auto"/>
        <w:jc w:val="both"/>
        <w:rPr>
          <w:rFonts w:ascii="Times New Roman" w:hAnsi="Times New Roman" w:cs="Times New Roman"/>
          <w:b/>
          <w:sz w:val="24"/>
          <w:szCs w:val="24"/>
        </w:rPr>
      </w:pPr>
    </w:p>
    <w:p w:rsidR="00474A75" w:rsidRDefault="00474A75" w:rsidP="00474A75">
      <w:pPr>
        <w:jc w:val="center"/>
        <w:rPr>
          <w:rFonts w:ascii="Times New Roman" w:hAnsi="Times New Roman" w:cs="Times New Roman"/>
          <w:sz w:val="24"/>
          <w:szCs w:val="24"/>
        </w:rPr>
      </w:pPr>
      <w:commentRangeStart w:id="11"/>
      <w:r>
        <w:rPr>
          <w:rFonts w:ascii="Times New Roman" w:hAnsi="Times New Roman" w:cs="Times New Roman"/>
          <w:sz w:val="24"/>
          <w:szCs w:val="24"/>
        </w:rPr>
        <w:t>FIGURA 3</w:t>
      </w:r>
    </w:p>
    <w:p w:rsidR="005D74A8" w:rsidRPr="005D74A8" w:rsidRDefault="005D74A8" w:rsidP="00474A75">
      <w:pPr>
        <w:jc w:val="center"/>
        <w:rPr>
          <w:rFonts w:ascii="Times New Roman" w:hAnsi="Times New Roman" w:cs="Times New Roman"/>
          <w:sz w:val="24"/>
          <w:szCs w:val="24"/>
        </w:rPr>
      </w:pPr>
      <w:r w:rsidRPr="005D74A8">
        <w:rPr>
          <w:rFonts w:ascii="Times New Roman" w:hAnsi="Times New Roman" w:cs="Times New Roman"/>
          <w:sz w:val="24"/>
          <w:szCs w:val="24"/>
        </w:rPr>
        <w:t xml:space="preserve">Edad media de la maternidad en </w:t>
      </w:r>
      <w:r w:rsidR="00474A75">
        <w:rPr>
          <w:rFonts w:ascii="Times New Roman" w:hAnsi="Times New Roman" w:cs="Times New Roman"/>
          <w:sz w:val="24"/>
          <w:szCs w:val="24"/>
        </w:rPr>
        <w:t>la Región de Murcia (1991-201</w:t>
      </w:r>
      <w:r w:rsidR="00F525F0">
        <w:rPr>
          <w:rFonts w:ascii="Times New Roman" w:hAnsi="Times New Roman" w:cs="Times New Roman"/>
          <w:sz w:val="24"/>
          <w:szCs w:val="24"/>
        </w:rPr>
        <w:t>3</w:t>
      </w:r>
      <w:r w:rsidR="00474A75">
        <w:rPr>
          <w:rFonts w:ascii="Times New Roman" w:hAnsi="Times New Roman" w:cs="Times New Roman"/>
          <w:sz w:val="24"/>
          <w:szCs w:val="24"/>
        </w:rPr>
        <w:t>)</w:t>
      </w:r>
    </w:p>
    <w:commentRangeEnd w:id="11"/>
    <w:p w:rsidR="005D74A8" w:rsidRPr="005D74A8" w:rsidRDefault="00F525F0" w:rsidP="00474A75">
      <w:pPr>
        <w:jc w:val="center"/>
        <w:rPr>
          <w:rFonts w:ascii="Times New Roman" w:hAnsi="Times New Roman" w:cs="Times New Roman"/>
          <w:sz w:val="24"/>
          <w:szCs w:val="24"/>
        </w:rPr>
      </w:pPr>
      <w:r>
        <w:rPr>
          <w:rStyle w:val="Refdecomentario"/>
        </w:rPr>
        <w:commentReference w:id="11"/>
      </w:r>
      <w:r w:rsidR="005D74A8" w:rsidRPr="005D74A8">
        <w:rPr>
          <w:rFonts w:ascii="Times New Roman" w:hAnsi="Times New Roman" w:cs="Times New Roman"/>
          <w:noProof/>
          <w:sz w:val="24"/>
          <w:szCs w:val="24"/>
          <w:lang w:eastAsia="es-ES"/>
        </w:rPr>
        <w:drawing>
          <wp:inline distT="0" distB="0" distL="0" distR="0">
            <wp:extent cx="4371975" cy="2143125"/>
            <wp:effectExtent l="0" t="0" r="0" b="0"/>
            <wp:docPr id="1" name="Gráfico 13"/>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rsidR="005D74A8" w:rsidRPr="005D74A8" w:rsidRDefault="005D74A8" w:rsidP="004216AF">
      <w:pPr>
        <w:jc w:val="both"/>
        <w:rPr>
          <w:rFonts w:ascii="Times New Roman" w:hAnsi="Times New Roman" w:cs="Times New Roman"/>
          <w:bCs/>
          <w:noProof/>
          <w:sz w:val="24"/>
          <w:szCs w:val="24"/>
        </w:rPr>
      </w:pPr>
      <w:r w:rsidRPr="005D74A8">
        <w:rPr>
          <w:rFonts w:ascii="Times New Roman" w:hAnsi="Times New Roman" w:cs="Times New Roman"/>
          <w:noProof/>
          <w:sz w:val="24"/>
          <w:szCs w:val="24"/>
        </w:rPr>
        <w:t>Fuente: Elaboración propia a partir</w:t>
      </w:r>
      <w:r>
        <w:rPr>
          <w:rFonts w:ascii="Times New Roman" w:hAnsi="Times New Roman" w:cs="Times New Roman"/>
          <w:noProof/>
          <w:sz w:val="24"/>
          <w:szCs w:val="24"/>
        </w:rPr>
        <w:t xml:space="preserve"> de los datos extraídos del INE.</w:t>
      </w:r>
    </w:p>
    <w:p w:rsidR="007B07C5" w:rsidRDefault="007B07C5" w:rsidP="00210056">
      <w:pPr>
        <w:jc w:val="center"/>
        <w:rPr>
          <w:rFonts w:ascii="Times New Roman" w:hAnsi="Times New Roman" w:cs="Times New Roman"/>
          <w:b/>
          <w:noProof/>
          <w:sz w:val="24"/>
          <w:szCs w:val="24"/>
        </w:rPr>
      </w:pPr>
    </w:p>
    <w:p w:rsidR="00474A75" w:rsidRDefault="00474A75" w:rsidP="00474A75">
      <w:pPr>
        <w:jc w:val="center"/>
        <w:rPr>
          <w:rFonts w:ascii="Times New Roman" w:hAnsi="Times New Roman" w:cs="Times New Roman"/>
          <w:noProof/>
          <w:sz w:val="24"/>
          <w:szCs w:val="24"/>
        </w:rPr>
      </w:pPr>
      <w:r>
        <w:rPr>
          <w:rFonts w:ascii="Times New Roman" w:hAnsi="Times New Roman" w:cs="Times New Roman"/>
          <w:noProof/>
          <w:sz w:val="24"/>
          <w:szCs w:val="24"/>
        </w:rPr>
        <w:lastRenderedPageBreak/>
        <w:t>FIGURA 4</w:t>
      </w:r>
    </w:p>
    <w:p w:rsidR="00223CFA" w:rsidRDefault="00223CFA" w:rsidP="00474A75">
      <w:pPr>
        <w:jc w:val="center"/>
        <w:rPr>
          <w:rFonts w:ascii="Times New Roman" w:hAnsi="Times New Roman" w:cs="Times New Roman"/>
          <w:noProof/>
          <w:sz w:val="24"/>
          <w:szCs w:val="24"/>
        </w:rPr>
      </w:pPr>
      <w:r>
        <w:rPr>
          <w:rFonts w:ascii="Times New Roman" w:hAnsi="Times New Roman" w:cs="Times New Roman"/>
          <w:noProof/>
          <w:sz w:val="24"/>
          <w:szCs w:val="24"/>
        </w:rPr>
        <w:t xml:space="preserve">Evolución de la tasa de fecundidad según la edad de la madre en la Región de Murcia, por grandes grupos de edad, para el periodo comprendido entre 1991-2013 </w:t>
      </w:r>
      <w:r w:rsidRPr="00223CFA">
        <w:rPr>
          <w:rFonts w:ascii="Times New Roman" w:hAnsi="Times New Roman" w:cs="Times New Roman"/>
          <w:noProof/>
          <w:sz w:val="24"/>
          <w:szCs w:val="24"/>
        </w:rPr>
        <w:t>(%)</w:t>
      </w:r>
    </w:p>
    <w:p w:rsidR="007B07C5" w:rsidRPr="007B07C5" w:rsidRDefault="007B07C5" w:rsidP="00474A75">
      <w:pPr>
        <w:jc w:val="center"/>
        <w:rPr>
          <w:rFonts w:ascii="Times New Roman" w:hAnsi="Times New Roman" w:cs="Times New Roman"/>
          <w:noProof/>
          <w:sz w:val="24"/>
          <w:szCs w:val="24"/>
        </w:rPr>
      </w:pPr>
      <w:r w:rsidRPr="007B07C5">
        <w:rPr>
          <w:rFonts w:ascii="Times New Roman" w:hAnsi="Times New Roman" w:cs="Times New Roman"/>
          <w:noProof/>
          <w:sz w:val="24"/>
          <w:szCs w:val="24"/>
          <w:lang w:eastAsia="es-ES"/>
        </w:rPr>
        <w:drawing>
          <wp:inline distT="0" distB="0" distL="0" distR="0">
            <wp:extent cx="4362450" cy="2286000"/>
            <wp:effectExtent l="0" t="0" r="0" b="0"/>
            <wp:docPr id="6" name="Gráfico 6"/>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rsidR="007B07C5" w:rsidRDefault="007B07C5" w:rsidP="004216AF">
      <w:pPr>
        <w:spacing w:line="360" w:lineRule="auto"/>
        <w:jc w:val="both"/>
        <w:rPr>
          <w:rFonts w:ascii="Times New Roman" w:hAnsi="Times New Roman" w:cs="Times New Roman"/>
          <w:bCs/>
          <w:noProof/>
          <w:sz w:val="24"/>
          <w:szCs w:val="24"/>
        </w:rPr>
      </w:pPr>
      <w:r w:rsidRPr="007B07C5">
        <w:rPr>
          <w:rFonts w:ascii="Times New Roman" w:hAnsi="Times New Roman" w:cs="Times New Roman"/>
          <w:noProof/>
          <w:sz w:val="24"/>
          <w:szCs w:val="24"/>
        </w:rPr>
        <w:t>Fuente: Elaboración propia a partir de los datos extraídos del INE</w:t>
      </w:r>
      <w:r w:rsidRPr="007B07C5">
        <w:rPr>
          <w:rFonts w:ascii="Times New Roman" w:hAnsi="Times New Roman" w:cs="Times New Roman"/>
          <w:bCs/>
          <w:noProof/>
          <w:sz w:val="24"/>
          <w:szCs w:val="24"/>
        </w:rPr>
        <w:t>.</w:t>
      </w:r>
    </w:p>
    <w:p w:rsidR="00474A75" w:rsidRPr="007B07C5" w:rsidRDefault="00474A75" w:rsidP="00474A75">
      <w:pPr>
        <w:spacing w:line="360" w:lineRule="auto"/>
        <w:jc w:val="both"/>
        <w:rPr>
          <w:rFonts w:ascii="Times New Roman" w:hAnsi="Times New Roman" w:cs="Times New Roman"/>
          <w:bCs/>
          <w:noProof/>
          <w:sz w:val="24"/>
          <w:szCs w:val="24"/>
        </w:rPr>
      </w:pPr>
    </w:p>
    <w:p w:rsidR="007B07C5" w:rsidRPr="007B07C5" w:rsidRDefault="007B07C5" w:rsidP="00210056">
      <w:pPr>
        <w:spacing w:line="360" w:lineRule="auto"/>
        <w:ind w:firstLine="284"/>
        <w:jc w:val="both"/>
        <w:rPr>
          <w:rFonts w:ascii="Times New Roman" w:hAnsi="Times New Roman" w:cs="Times New Roman"/>
          <w:sz w:val="24"/>
          <w:szCs w:val="24"/>
        </w:rPr>
      </w:pPr>
      <w:r w:rsidRPr="007B07C5">
        <w:rPr>
          <w:rFonts w:ascii="Times New Roman" w:hAnsi="Times New Roman" w:cs="Times New Roman"/>
          <w:sz w:val="24"/>
          <w:szCs w:val="24"/>
        </w:rPr>
        <w:t xml:space="preserve">Esta disminución y evolución de las tasas de fecundidad se ha visto complementada, además, por la incorporación generalizada de la mujer al trabajo y el nuevo papel ascendente ocupado por ella en la sociedad. De </w:t>
      </w:r>
      <w:r w:rsidR="009F3012">
        <w:rPr>
          <w:rFonts w:ascii="Times New Roman" w:hAnsi="Times New Roman" w:cs="Times New Roman"/>
          <w:sz w:val="24"/>
          <w:szCs w:val="24"/>
        </w:rPr>
        <w:t xml:space="preserve">este </w:t>
      </w:r>
      <w:r w:rsidRPr="007B07C5">
        <w:rPr>
          <w:rFonts w:ascii="Times New Roman" w:hAnsi="Times New Roman" w:cs="Times New Roman"/>
          <w:sz w:val="24"/>
          <w:szCs w:val="24"/>
        </w:rPr>
        <w:t>modo</w:t>
      </w:r>
      <w:r w:rsidR="009F3012">
        <w:rPr>
          <w:rFonts w:ascii="Times New Roman" w:hAnsi="Times New Roman" w:cs="Times New Roman"/>
          <w:sz w:val="24"/>
          <w:szCs w:val="24"/>
        </w:rPr>
        <w:t>,</w:t>
      </w:r>
      <w:r w:rsidRPr="007B07C5">
        <w:rPr>
          <w:rFonts w:ascii="Times New Roman" w:hAnsi="Times New Roman" w:cs="Times New Roman"/>
          <w:sz w:val="24"/>
          <w:szCs w:val="24"/>
        </w:rPr>
        <w:t xml:space="preserve"> las mujeres retrasan la maternidad hasta consolidar su situación laboral, por lo que la mayoría de los nacimientos se producen en el grupo de los 30-34 años</w:t>
      </w:r>
      <w:r>
        <w:rPr>
          <w:rFonts w:ascii="Times New Roman" w:hAnsi="Times New Roman" w:cs="Times New Roman"/>
          <w:sz w:val="24"/>
          <w:szCs w:val="24"/>
        </w:rPr>
        <w:t xml:space="preserve"> </w:t>
      </w:r>
      <w:r w:rsidRPr="007B07C5">
        <w:rPr>
          <w:rFonts w:ascii="Times New Roman" w:hAnsi="Times New Roman" w:cs="Times New Roman"/>
          <w:sz w:val="24"/>
          <w:szCs w:val="24"/>
        </w:rPr>
        <w:t>(</w:t>
      </w:r>
      <w:r w:rsidR="009F3012">
        <w:rPr>
          <w:rFonts w:ascii="Times New Roman" w:hAnsi="Times New Roman" w:cs="Times New Roman"/>
          <w:sz w:val="24"/>
          <w:szCs w:val="24"/>
        </w:rPr>
        <w:t>DELGADO</w:t>
      </w:r>
      <w:r w:rsidRPr="007B07C5">
        <w:rPr>
          <w:rFonts w:ascii="Times New Roman" w:hAnsi="Times New Roman" w:cs="Times New Roman"/>
          <w:sz w:val="24"/>
          <w:szCs w:val="24"/>
        </w:rPr>
        <w:t xml:space="preserve"> </w:t>
      </w:r>
      <w:r w:rsidRPr="007B07C5">
        <w:rPr>
          <w:rFonts w:ascii="Times New Roman" w:hAnsi="Times New Roman" w:cs="Times New Roman"/>
          <w:i/>
          <w:sz w:val="24"/>
          <w:szCs w:val="24"/>
        </w:rPr>
        <w:t>et al</w:t>
      </w:r>
      <w:r w:rsidRPr="007B07C5">
        <w:rPr>
          <w:rFonts w:ascii="Times New Roman" w:hAnsi="Times New Roman" w:cs="Times New Roman"/>
          <w:sz w:val="24"/>
          <w:szCs w:val="24"/>
        </w:rPr>
        <w:t xml:space="preserve">., 2009; </w:t>
      </w:r>
      <w:r w:rsidR="00077DD7" w:rsidRPr="007B07C5">
        <w:rPr>
          <w:rFonts w:ascii="Times New Roman" w:hAnsi="Times New Roman" w:cs="Times New Roman"/>
          <w:sz w:val="24"/>
          <w:szCs w:val="24"/>
        </w:rPr>
        <w:t>LEGAZPE MORALEJA</w:t>
      </w:r>
      <w:r w:rsidRPr="007B07C5">
        <w:rPr>
          <w:rFonts w:ascii="Times New Roman" w:hAnsi="Times New Roman" w:cs="Times New Roman"/>
          <w:sz w:val="24"/>
          <w:szCs w:val="24"/>
        </w:rPr>
        <w:t>, 2011).</w:t>
      </w:r>
      <w:r w:rsidR="008C686F">
        <w:rPr>
          <w:rFonts w:ascii="Times New Roman" w:hAnsi="Times New Roman" w:cs="Times New Roman"/>
          <w:sz w:val="24"/>
          <w:szCs w:val="24"/>
        </w:rPr>
        <w:t xml:space="preserve"> </w:t>
      </w:r>
      <w:r w:rsidRPr="007B07C5">
        <w:rPr>
          <w:rFonts w:ascii="Times New Roman" w:hAnsi="Times New Roman" w:cs="Times New Roman"/>
          <w:sz w:val="24"/>
          <w:szCs w:val="24"/>
        </w:rPr>
        <w:t>Esta nueva realidad en las formas de vida femeninas ayuda a entender las nuevas relaciones familiares, que cambian por completo los modelos y costumbres que eran característicos de épocas no muy lejanas</w:t>
      </w:r>
      <w:r w:rsidR="008C686F">
        <w:rPr>
          <w:rFonts w:ascii="Times New Roman" w:hAnsi="Times New Roman" w:cs="Times New Roman"/>
          <w:sz w:val="24"/>
          <w:szCs w:val="24"/>
        </w:rPr>
        <w:t xml:space="preserve"> </w:t>
      </w:r>
      <w:r w:rsidR="008C686F" w:rsidRPr="007B07C5">
        <w:rPr>
          <w:rFonts w:ascii="Times New Roman" w:hAnsi="Times New Roman" w:cs="Times New Roman"/>
          <w:sz w:val="24"/>
          <w:szCs w:val="24"/>
        </w:rPr>
        <w:t>(</w:t>
      </w:r>
      <w:r w:rsidR="00077DD7" w:rsidRPr="007B07C5">
        <w:rPr>
          <w:rFonts w:ascii="Times New Roman" w:hAnsi="Times New Roman" w:cs="Times New Roman"/>
          <w:sz w:val="24"/>
          <w:szCs w:val="24"/>
        </w:rPr>
        <w:t xml:space="preserve">SÁNCHEZ FERNÁNDEZ </w:t>
      </w:r>
      <w:r w:rsidR="00223CFA">
        <w:rPr>
          <w:rFonts w:ascii="Times New Roman" w:hAnsi="Times New Roman" w:cs="Times New Roman"/>
          <w:sz w:val="24"/>
          <w:szCs w:val="24"/>
        </w:rPr>
        <w:t>y</w:t>
      </w:r>
      <w:r w:rsidR="00077DD7" w:rsidRPr="007B07C5">
        <w:rPr>
          <w:rFonts w:ascii="Times New Roman" w:hAnsi="Times New Roman" w:cs="Times New Roman"/>
          <w:sz w:val="24"/>
          <w:szCs w:val="24"/>
        </w:rPr>
        <w:t xml:space="preserve"> SÁNCHEZ MALDONADO</w:t>
      </w:r>
      <w:r w:rsidR="008C686F" w:rsidRPr="007B07C5">
        <w:rPr>
          <w:rFonts w:ascii="Times New Roman" w:hAnsi="Times New Roman" w:cs="Times New Roman"/>
          <w:sz w:val="24"/>
          <w:szCs w:val="24"/>
        </w:rPr>
        <w:t>, 2008)</w:t>
      </w:r>
      <w:r w:rsidRPr="007B07C5">
        <w:rPr>
          <w:rFonts w:ascii="Times New Roman" w:hAnsi="Times New Roman" w:cs="Times New Roman"/>
          <w:sz w:val="24"/>
          <w:szCs w:val="24"/>
        </w:rPr>
        <w:t>.</w:t>
      </w:r>
    </w:p>
    <w:p w:rsidR="007B07C5" w:rsidRPr="007B07C5" w:rsidRDefault="009F3012" w:rsidP="00210056">
      <w:pPr>
        <w:spacing w:line="360" w:lineRule="auto"/>
        <w:ind w:firstLine="284"/>
        <w:jc w:val="both"/>
        <w:rPr>
          <w:rFonts w:ascii="Times New Roman" w:hAnsi="Times New Roman" w:cs="Times New Roman"/>
          <w:sz w:val="24"/>
          <w:szCs w:val="24"/>
        </w:rPr>
      </w:pPr>
      <w:r w:rsidRPr="007B07C5">
        <w:rPr>
          <w:rFonts w:ascii="Times New Roman" w:hAnsi="Times New Roman" w:cs="Times New Roman"/>
          <w:sz w:val="24"/>
          <w:szCs w:val="24"/>
        </w:rPr>
        <w:t>Del mismo modo</w:t>
      </w:r>
      <w:r w:rsidR="007B07C5" w:rsidRPr="007B07C5">
        <w:rPr>
          <w:rFonts w:ascii="Times New Roman" w:hAnsi="Times New Roman" w:cs="Times New Roman"/>
          <w:sz w:val="24"/>
          <w:szCs w:val="24"/>
        </w:rPr>
        <w:t>, el mercado de trabajo tampoco ayuda a consolidar una unidad familiar amplia, ya que la dinámica “paro-contratos temporales-paro” no anima a tomar un compromiso para toda la vida como es un hijo (</w:t>
      </w:r>
      <w:r w:rsidR="00077DD7" w:rsidRPr="007B07C5">
        <w:rPr>
          <w:rFonts w:ascii="Times New Roman" w:hAnsi="Times New Roman" w:cs="Times New Roman"/>
          <w:sz w:val="24"/>
          <w:szCs w:val="24"/>
        </w:rPr>
        <w:t>CRESPO GARRIDO</w:t>
      </w:r>
      <w:r w:rsidR="007B07C5" w:rsidRPr="007B07C5">
        <w:rPr>
          <w:rFonts w:ascii="Times New Roman" w:hAnsi="Times New Roman" w:cs="Times New Roman"/>
          <w:sz w:val="24"/>
          <w:szCs w:val="24"/>
        </w:rPr>
        <w:t>, 2013). Tampoco ayudan las dificultades para conciliar la vida familiar y laboral, debido a la escasez de guarderías a precios asequibles y el mantenimiento de comportamientos sexistas en el reparto de tareas domésticas y en el cuidado de los hijos.</w:t>
      </w:r>
      <w:r w:rsidR="008C686F">
        <w:rPr>
          <w:rFonts w:ascii="Times New Roman" w:hAnsi="Times New Roman" w:cs="Times New Roman"/>
          <w:sz w:val="24"/>
          <w:szCs w:val="24"/>
        </w:rPr>
        <w:t xml:space="preserve"> </w:t>
      </w:r>
      <w:r>
        <w:rPr>
          <w:rFonts w:ascii="Times New Roman" w:hAnsi="Times New Roman" w:cs="Times New Roman"/>
          <w:sz w:val="24"/>
          <w:szCs w:val="24"/>
        </w:rPr>
        <w:t>Por tanto, l</w:t>
      </w:r>
      <w:r w:rsidR="007B07C5" w:rsidRPr="007B07C5">
        <w:rPr>
          <w:rFonts w:ascii="Times New Roman" w:hAnsi="Times New Roman" w:cs="Times New Roman"/>
          <w:sz w:val="24"/>
          <w:szCs w:val="24"/>
        </w:rPr>
        <w:t>a familia numerosa, característica en el pasado, constituye en la actualidad una opción minoritaria (</w:t>
      </w:r>
      <w:r w:rsidR="00077DD7" w:rsidRPr="007B07C5">
        <w:rPr>
          <w:rFonts w:ascii="Times New Roman" w:hAnsi="Times New Roman" w:cs="Times New Roman"/>
          <w:sz w:val="24"/>
          <w:szCs w:val="24"/>
        </w:rPr>
        <w:t>MONTORO</w:t>
      </w:r>
      <w:r w:rsidR="007B07C5" w:rsidRPr="007B07C5">
        <w:rPr>
          <w:rFonts w:ascii="Times New Roman" w:hAnsi="Times New Roman" w:cs="Times New Roman"/>
          <w:sz w:val="24"/>
          <w:szCs w:val="24"/>
        </w:rPr>
        <w:t>, 2013). La sociedad ha desarrollado pautas de comportamiento poco favorecedor</w:t>
      </w:r>
      <w:r>
        <w:rPr>
          <w:rFonts w:ascii="Times New Roman" w:hAnsi="Times New Roman" w:cs="Times New Roman"/>
          <w:sz w:val="24"/>
          <w:szCs w:val="24"/>
        </w:rPr>
        <w:t>a</w:t>
      </w:r>
      <w:r w:rsidR="007B07C5" w:rsidRPr="007B07C5">
        <w:rPr>
          <w:rFonts w:ascii="Times New Roman" w:hAnsi="Times New Roman" w:cs="Times New Roman"/>
          <w:sz w:val="24"/>
          <w:szCs w:val="24"/>
        </w:rPr>
        <w:t>s para las familias numerosas</w:t>
      </w:r>
      <w:r>
        <w:rPr>
          <w:rFonts w:ascii="Times New Roman" w:hAnsi="Times New Roman" w:cs="Times New Roman"/>
          <w:sz w:val="24"/>
          <w:szCs w:val="24"/>
        </w:rPr>
        <w:t>,</w:t>
      </w:r>
      <w:r w:rsidR="007B07C5" w:rsidRPr="007B07C5">
        <w:rPr>
          <w:rFonts w:ascii="Times New Roman" w:hAnsi="Times New Roman" w:cs="Times New Roman"/>
          <w:sz w:val="24"/>
          <w:szCs w:val="24"/>
        </w:rPr>
        <w:t xml:space="preserve"> </w:t>
      </w:r>
      <w:r>
        <w:rPr>
          <w:rFonts w:ascii="Times New Roman" w:hAnsi="Times New Roman" w:cs="Times New Roman"/>
          <w:sz w:val="24"/>
          <w:szCs w:val="24"/>
        </w:rPr>
        <w:t>entre ellas</w:t>
      </w:r>
      <w:r w:rsidR="007B07C5" w:rsidRPr="007B07C5">
        <w:rPr>
          <w:rFonts w:ascii="Times New Roman" w:hAnsi="Times New Roman" w:cs="Times New Roman"/>
          <w:sz w:val="24"/>
          <w:szCs w:val="24"/>
        </w:rPr>
        <w:t xml:space="preserve"> el abandono de la población rural y su concentración masiva en las ciudades, que trae consigo una modificación en las formas de vida tradicionales.</w:t>
      </w:r>
    </w:p>
    <w:p w:rsidR="007B07C5" w:rsidRPr="007B07C5" w:rsidRDefault="008C686F" w:rsidP="00210056">
      <w:pPr>
        <w:spacing w:line="360" w:lineRule="auto"/>
        <w:ind w:firstLine="284"/>
        <w:jc w:val="both"/>
        <w:rPr>
          <w:rFonts w:ascii="Times New Roman" w:hAnsi="Times New Roman" w:cs="Times New Roman"/>
          <w:sz w:val="24"/>
          <w:szCs w:val="24"/>
        </w:rPr>
      </w:pPr>
      <w:r>
        <w:rPr>
          <w:rFonts w:ascii="Times New Roman" w:hAnsi="Times New Roman" w:cs="Times New Roman"/>
          <w:sz w:val="24"/>
          <w:szCs w:val="24"/>
        </w:rPr>
        <w:lastRenderedPageBreak/>
        <w:t>C</w:t>
      </w:r>
      <w:r w:rsidR="007B07C5" w:rsidRPr="007B07C5">
        <w:rPr>
          <w:rFonts w:ascii="Times New Roman" w:hAnsi="Times New Roman" w:cs="Times New Roman"/>
          <w:sz w:val="24"/>
          <w:szCs w:val="24"/>
        </w:rPr>
        <w:t>abe resaltar la crisis económica aconte</w:t>
      </w:r>
      <w:r w:rsidR="009F3012">
        <w:rPr>
          <w:rFonts w:ascii="Times New Roman" w:hAnsi="Times New Roman" w:cs="Times New Roman"/>
          <w:sz w:val="24"/>
          <w:szCs w:val="24"/>
        </w:rPr>
        <w:t>cida en España a partir de 2008</w:t>
      </w:r>
      <w:r w:rsidR="007B07C5" w:rsidRPr="007B07C5">
        <w:rPr>
          <w:rFonts w:ascii="Times New Roman" w:hAnsi="Times New Roman" w:cs="Times New Roman"/>
          <w:sz w:val="24"/>
          <w:szCs w:val="24"/>
        </w:rPr>
        <w:t xml:space="preserve"> como una de las causas que peores consecuencias ha tenido para la demografía española.</w:t>
      </w:r>
      <w:r>
        <w:rPr>
          <w:rFonts w:ascii="Times New Roman" w:hAnsi="Times New Roman" w:cs="Times New Roman"/>
          <w:sz w:val="24"/>
          <w:szCs w:val="24"/>
        </w:rPr>
        <w:t xml:space="preserve"> </w:t>
      </w:r>
      <w:r w:rsidR="007B07C5" w:rsidRPr="007B07C5">
        <w:rPr>
          <w:rFonts w:ascii="Times New Roman" w:hAnsi="Times New Roman" w:cs="Times New Roman"/>
          <w:sz w:val="24"/>
          <w:szCs w:val="24"/>
        </w:rPr>
        <w:t xml:space="preserve">Debido a </w:t>
      </w:r>
      <w:r w:rsidR="002165B0">
        <w:rPr>
          <w:rFonts w:ascii="Times New Roman" w:hAnsi="Times New Roman" w:cs="Times New Roman"/>
          <w:sz w:val="24"/>
          <w:szCs w:val="24"/>
        </w:rPr>
        <w:t>esta crisis económica</w:t>
      </w:r>
      <w:r w:rsidR="007B07C5" w:rsidRPr="007B07C5">
        <w:rPr>
          <w:rFonts w:ascii="Times New Roman" w:hAnsi="Times New Roman" w:cs="Times New Roman"/>
          <w:sz w:val="24"/>
          <w:szCs w:val="24"/>
        </w:rPr>
        <w:t xml:space="preserve"> se ha dado una menor intensidad en la nupcialidad, como causa del desempleo de numerosos jóvenes y las dificultades de acceso a la vivienda, lo que da lugar a que éstos s</w:t>
      </w:r>
      <w:r w:rsidR="005B25A8">
        <w:rPr>
          <w:rFonts w:ascii="Times New Roman" w:hAnsi="Times New Roman" w:cs="Times New Roman"/>
          <w:sz w:val="24"/>
          <w:szCs w:val="24"/>
        </w:rPr>
        <w:t>e retrasen en salir de los hogares</w:t>
      </w:r>
      <w:r w:rsidR="007B07C5" w:rsidRPr="007B07C5">
        <w:rPr>
          <w:rFonts w:ascii="Times New Roman" w:hAnsi="Times New Roman" w:cs="Times New Roman"/>
          <w:sz w:val="24"/>
          <w:szCs w:val="24"/>
        </w:rPr>
        <w:t xml:space="preserve"> </w:t>
      </w:r>
      <w:r>
        <w:rPr>
          <w:rFonts w:ascii="Times New Roman" w:hAnsi="Times New Roman" w:cs="Times New Roman"/>
          <w:sz w:val="24"/>
          <w:szCs w:val="24"/>
        </w:rPr>
        <w:t>familiares</w:t>
      </w:r>
      <w:r w:rsidR="002165B0">
        <w:rPr>
          <w:rFonts w:ascii="Times New Roman" w:hAnsi="Times New Roman" w:cs="Times New Roman"/>
          <w:sz w:val="24"/>
          <w:szCs w:val="24"/>
        </w:rPr>
        <w:t>. Consecuentemente,</w:t>
      </w:r>
      <w:r w:rsidR="007B07C5" w:rsidRPr="007B07C5">
        <w:rPr>
          <w:rFonts w:ascii="Times New Roman" w:hAnsi="Times New Roman" w:cs="Times New Roman"/>
          <w:sz w:val="24"/>
          <w:szCs w:val="24"/>
        </w:rPr>
        <w:t xml:space="preserve"> tardan más en casarse y así se produce un retraso en la edad del matrimonio y en la edad media para tener hijos, así como un acortamiento de las relaciones durante el periodo fértil de la mujer.</w:t>
      </w:r>
    </w:p>
    <w:p w:rsidR="007B07C5" w:rsidRDefault="007B07C5" w:rsidP="00210056">
      <w:pPr>
        <w:spacing w:line="360" w:lineRule="auto"/>
        <w:ind w:firstLine="284"/>
        <w:jc w:val="both"/>
        <w:rPr>
          <w:rFonts w:ascii="Times New Roman" w:hAnsi="Times New Roman" w:cs="Times New Roman"/>
          <w:sz w:val="24"/>
          <w:szCs w:val="24"/>
        </w:rPr>
      </w:pPr>
      <w:r w:rsidRPr="007B07C5">
        <w:rPr>
          <w:rFonts w:ascii="Times New Roman" w:hAnsi="Times New Roman" w:cs="Times New Roman"/>
          <w:sz w:val="24"/>
          <w:szCs w:val="24"/>
        </w:rPr>
        <w:t xml:space="preserve">Estas circunstancias dan lugar a un número de hijos por mujer muy bajo, alejado del reemplazo generacional </w:t>
      </w:r>
      <w:r w:rsidR="00874AC9">
        <w:rPr>
          <w:rFonts w:ascii="Times New Roman" w:hAnsi="Times New Roman" w:cs="Times New Roman"/>
          <w:sz w:val="24"/>
          <w:szCs w:val="24"/>
        </w:rPr>
        <w:t>(</w:t>
      </w:r>
      <w:r w:rsidR="00793D41">
        <w:rPr>
          <w:rFonts w:ascii="Times New Roman" w:hAnsi="Times New Roman" w:cs="Times New Roman"/>
          <w:sz w:val="24"/>
          <w:szCs w:val="24"/>
        </w:rPr>
        <w:t>Figura 5</w:t>
      </w:r>
      <w:r w:rsidR="00874AC9">
        <w:rPr>
          <w:rFonts w:ascii="Times New Roman" w:hAnsi="Times New Roman" w:cs="Times New Roman"/>
          <w:sz w:val="24"/>
          <w:szCs w:val="24"/>
        </w:rPr>
        <w:t>). L</w:t>
      </w:r>
      <w:r w:rsidRPr="007B07C5">
        <w:rPr>
          <w:rFonts w:ascii="Times New Roman" w:hAnsi="Times New Roman" w:cs="Times New Roman"/>
          <w:sz w:val="24"/>
          <w:szCs w:val="24"/>
        </w:rPr>
        <w:t xml:space="preserve">a tasa de reposición de 2,1 hijos por mujer no se ve superada en ningún momento en el periodo comprendido entre 1991 y 2012. Es más, ni siquiera se acerca </w:t>
      </w:r>
      <w:r w:rsidR="00874AC9">
        <w:rPr>
          <w:rFonts w:ascii="Times New Roman" w:hAnsi="Times New Roman" w:cs="Times New Roman"/>
          <w:sz w:val="24"/>
          <w:szCs w:val="24"/>
        </w:rPr>
        <w:t xml:space="preserve">de manera </w:t>
      </w:r>
      <w:r w:rsidRPr="007B07C5">
        <w:rPr>
          <w:rFonts w:ascii="Times New Roman" w:hAnsi="Times New Roman" w:cs="Times New Roman"/>
          <w:sz w:val="24"/>
          <w:szCs w:val="24"/>
        </w:rPr>
        <w:t xml:space="preserve">suficiente a la tasa de reposición, ya que la tasa máxima a la que se llega en ese periodo es de 1,68 en el año 2008. </w:t>
      </w:r>
    </w:p>
    <w:p w:rsidR="00874AC9" w:rsidRPr="007B07C5" w:rsidRDefault="00874AC9" w:rsidP="007B07C5">
      <w:pPr>
        <w:jc w:val="both"/>
        <w:rPr>
          <w:rFonts w:ascii="Times New Roman" w:hAnsi="Times New Roman" w:cs="Times New Roman"/>
          <w:sz w:val="24"/>
          <w:szCs w:val="24"/>
        </w:rPr>
      </w:pPr>
    </w:p>
    <w:p w:rsidR="00474A75" w:rsidRDefault="00474A75" w:rsidP="00474A75">
      <w:pPr>
        <w:jc w:val="center"/>
        <w:rPr>
          <w:rFonts w:ascii="Times New Roman" w:hAnsi="Times New Roman" w:cs="Times New Roman"/>
          <w:sz w:val="24"/>
          <w:szCs w:val="24"/>
        </w:rPr>
      </w:pPr>
      <w:r>
        <w:rPr>
          <w:rFonts w:ascii="Times New Roman" w:hAnsi="Times New Roman" w:cs="Times New Roman"/>
          <w:sz w:val="24"/>
          <w:szCs w:val="24"/>
        </w:rPr>
        <w:t>FIGURA 5</w:t>
      </w:r>
    </w:p>
    <w:p w:rsidR="007B07C5" w:rsidRPr="008C686F" w:rsidRDefault="007B07C5" w:rsidP="00474A75">
      <w:pPr>
        <w:jc w:val="center"/>
        <w:rPr>
          <w:rFonts w:ascii="Times New Roman" w:hAnsi="Times New Roman" w:cs="Times New Roman"/>
          <w:sz w:val="24"/>
          <w:szCs w:val="24"/>
        </w:rPr>
      </w:pPr>
      <w:commentRangeStart w:id="12"/>
      <w:r w:rsidRPr="008C686F">
        <w:rPr>
          <w:rFonts w:ascii="Times New Roman" w:hAnsi="Times New Roman" w:cs="Times New Roman"/>
          <w:sz w:val="24"/>
          <w:szCs w:val="24"/>
        </w:rPr>
        <w:t>Número medio de hijos por mujer en la Región de Murcia y par</w:t>
      </w:r>
      <w:r w:rsidR="004C1968">
        <w:rPr>
          <w:rFonts w:ascii="Times New Roman" w:hAnsi="Times New Roman" w:cs="Times New Roman"/>
          <w:sz w:val="24"/>
          <w:szCs w:val="24"/>
        </w:rPr>
        <w:t>a el total nacional (1991-2013</w:t>
      </w:r>
      <w:r w:rsidR="00474A75">
        <w:rPr>
          <w:rFonts w:ascii="Times New Roman" w:hAnsi="Times New Roman" w:cs="Times New Roman"/>
          <w:sz w:val="24"/>
          <w:szCs w:val="24"/>
        </w:rPr>
        <w:t>)</w:t>
      </w:r>
      <w:commentRangeEnd w:id="12"/>
      <w:r w:rsidR="00ED5DFC">
        <w:rPr>
          <w:rStyle w:val="Refdecomentario"/>
        </w:rPr>
        <w:commentReference w:id="12"/>
      </w:r>
    </w:p>
    <w:p w:rsidR="007B07C5" w:rsidRPr="007B07C5" w:rsidRDefault="007B07C5" w:rsidP="00474A75">
      <w:pPr>
        <w:jc w:val="center"/>
        <w:rPr>
          <w:rFonts w:ascii="Times New Roman" w:hAnsi="Times New Roman" w:cs="Times New Roman"/>
          <w:sz w:val="24"/>
          <w:szCs w:val="24"/>
        </w:rPr>
      </w:pPr>
      <w:r w:rsidRPr="007B07C5">
        <w:rPr>
          <w:rFonts w:ascii="Times New Roman" w:hAnsi="Times New Roman" w:cs="Times New Roman"/>
          <w:noProof/>
          <w:sz w:val="24"/>
          <w:szCs w:val="24"/>
          <w:lang w:eastAsia="es-ES"/>
        </w:rPr>
        <w:drawing>
          <wp:inline distT="0" distB="0" distL="0" distR="0">
            <wp:extent cx="4784141" cy="2582266"/>
            <wp:effectExtent l="0" t="0" r="0" b="0"/>
            <wp:docPr id="5" name="Gráfico 6"/>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rsidR="007B07C5" w:rsidRPr="007B07C5" w:rsidRDefault="007B07C5" w:rsidP="004216AF">
      <w:pPr>
        <w:jc w:val="both"/>
        <w:rPr>
          <w:rFonts w:ascii="Times New Roman" w:eastAsia="Times New Roman" w:hAnsi="Times New Roman" w:cs="Times New Roman"/>
          <w:color w:val="000000"/>
          <w:sz w:val="24"/>
          <w:szCs w:val="24"/>
        </w:rPr>
      </w:pPr>
      <w:r w:rsidRPr="007B07C5">
        <w:rPr>
          <w:rFonts w:ascii="Times New Roman" w:eastAsia="Times New Roman" w:hAnsi="Times New Roman" w:cs="Times New Roman"/>
          <w:color w:val="000000"/>
          <w:sz w:val="24"/>
          <w:szCs w:val="24"/>
        </w:rPr>
        <w:t>Fuente: Elaboración propia a partir de los datos extraídos del CREM.</w:t>
      </w:r>
    </w:p>
    <w:p w:rsidR="007B07C5" w:rsidRPr="007B07C5" w:rsidRDefault="007B07C5" w:rsidP="007B07C5">
      <w:pPr>
        <w:jc w:val="both"/>
        <w:rPr>
          <w:rFonts w:ascii="Times New Roman" w:eastAsia="Times New Roman" w:hAnsi="Times New Roman" w:cs="Times New Roman"/>
          <w:color w:val="000000"/>
          <w:sz w:val="24"/>
          <w:szCs w:val="24"/>
        </w:rPr>
      </w:pPr>
    </w:p>
    <w:p w:rsidR="007B07C5" w:rsidRDefault="007B07C5" w:rsidP="00210056">
      <w:pPr>
        <w:spacing w:line="360" w:lineRule="auto"/>
        <w:ind w:firstLine="284"/>
        <w:jc w:val="both"/>
        <w:rPr>
          <w:rFonts w:ascii="Times New Roman" w:hAnsi="Times New Roman" w:cs="Times New Roman"/>
          <w:sz w:val="24"/>
          <w:szCs w:val="24"/>
        </w:rPr>
      </w:pPr>
      <w:r w:rsidRPr="007B07C5">
        <w:rPr>
          <w:rFonts w:ascii="Times New Roman" w:hAnsi="Times New Roman" w:cs="Times New Roman"/>
          <w:sz w:val="24"/>
          <w:szCs w:val="24"/>
        </w:rPr>
        <w:t>El aumento progresivo del envejecimiento está causando una nueva realidad</w:t>
      </w:r>
      <w:r w:rsidR="002165B0">
        <w:rPr>
          <w:rFonts w:ascii="Times New Roman" w:hAnsi="Times New Roman" w:cs="Times New Roman"/>
          <w:sz w:val="24"/>
          <w:szCs w:val="24"/>
        </w:rPr>
        <w:t>:</w:t>
      </w:r>
      <w:r w:rsidRPr="007B07C5">
        <w:rPr>
          <w:rFonts w:ascii="Times New Roman" w:hAnsi="Times New Roman" w:cs="Times New Roman"/>
          <w:sz w:val="24"/>
          <w:szCs w:val="24"/>
        </w:rPr>
        <w:t xml:space="preserve"> el sobreenvejecimiento</w:t>
      </w:r>
      <w:r w:rsidR="001F70AE">
        <w:rPr>
          <w:rFonts w:ascii="Times New Roman" w:hAnsi="Times New Roman" w:cs="Times New Roman"/>
          <w:sz w:val="24"/>
          <w:szCs w:val="24"/>
        </w:rPr>
        <w:t xml:space="preserve"> poblacional</w:t>
      </w:r>
      <w:r w:rsidRPr="007B07C5">
        <w:rPr>
          <w:rFonts w:ascii="Times New Roman" w:hAnsi="Times New Roman" w:cs="Times New Roman"/>
          <w:sz w:val="24"/>
          <w:szCs w:val="24"/>
        </w:rPr>
        <w:t>. El porcentaje de personas que superan los 75 años de edad está aumentando notablemente</w:t>
      </w:r>
      <w:r w:rsidR="001F70AE">
        <w:rPr>
          <w:rFonts w:ascii="Times New Roman" w:hAnsi="Times New Roman" w:cs="Times New Roman"/>
          <w:sz w:val="24"/>
          <w:szCs w:val="24"/>
        </w:rPr>
        <w:t xml:space="preserve"> (</w:t>
      </w:r>
      <w:r w:rsidR="00793D41">
        <w:rPr>
          <w:rFonts w:ascii="Times New Roman" w:hAnsi="Times New Roman" w:cs="Times New Roman"/>
          <w:sz w:val="24"/>
          <w:szCs w:val="24"/>
        </w:rPr>
        <w:t>Figura 6</w:t>
      </w:r>
      <w:r w:rsidR="001F70AE">
        <w:rPr>
          <w:rFonts w:ascii="Times New Roman" w:hAnsi="Times New Roman" w:cs="Times New Roman"/>
          <w:sz w:val="24"/>
          <w:szCs w:val="24"/>
        </w:rPr>
        <w:t>)</w:t>
      </w:r>
      <w:r w:rsidR="002165B0">
        <w:rPr>
          <w:rFonts w:ascii="Times New Roman" w:hAnsi="Times New Roman" w:cs="Times New Roman"/>
          <w:sz w:val="24"/>
          <w:szCs w:val="24"/>
        </w:rPr>
        <w:t>,</w:t>
      </w:r>
      <w:r w:rsidR="001F70AE">
        <w:rPr>
          <w:rFonts w:ascii="Times New Roman" w:hAnsi="Times New Roman" w:cs="Times New Roman"/>
          <w:sz w:val="24"/>
          <w:szCs w:val="24"/>
        </w:rPr>
        <w:t xml:space="preserve"> </w:t>
      </w:r>
      <w:r w:rsidR="002165B0">
        <w:rPr>
          <w:rFonts w:ascii="Times New Roman" w:hAnsi="Times New Roman" w:cs="Times New Roman"/>
          <w:sz w:val="24"/>
          <w:szCs w:val="24"/>
        </w:rPr>
        <w:t>y p</w:t>
      </w:r>
      <w:r w:rsidRPr="007B07C5">
        <w:rPr>
          <w:rFonts w:ascii="Times New Roman" w:hAnsi="Times New Roman" w:cs="Times New Roman"/>
          <w:sz w:val="24"/>
          <w:szCs w:val="24"/>
        </w:rPr>
        <w:t>or consiguiente, parece que el siglo XXI será el del crecimiento espectacular de la población mayor.</w:t>
      </w:r>
      <w:r w:rsidR="001F70AE">
        <w:rPr>
          <w:rFonts w:ascii="Times New Roman" w:hAnsi="Times New Roman" w:cs="Times New Roman"/>
          <w:sz w:val="24"/>
          <w:szCs w:val="24"/>
        </w:rPr>
        <w:t xml:space="preserve"> </w:t>
      </w:r>
      <w:r w:rsidRPr="007B07C5">
        <w:rPr>
          <w:rFonts w:ascii="Times New Roman" w:hAnsi="Times New Roman" w:cs="Times New Roman"/>
          <w:sz w:val="24"/>
          <w:szCs w:val="24"/>
        </w:rPr>
        <w:t>Este proceso acentuado de envejecimiento no es muy beneficioso si se tiene en cuenta que esta población constituye el grueso del colectivo en el que se aplica el gasto de las cotizaciones</w:t>
      </w:r>
      <w:r w:rsidR="001F70AE">
        <w:rPr>
          <w:rFonts w:ascii="Times New Roman" w:hAnsi="Times New Roman" w:cs="Times New Roman"/>
          <w:sz w:val="24"/>
          <w:szCs w:val="24"/>
        </w:rPr>
        <w:t xml:space="preserve">. </w:t>
      </w:r>
      <w:r w:rsidRPr="007B07C5">
        <w:rPr>
          <w:rFonts w:ascii="Times New Roman" w:hAnsi="Times New Roman" w:cs="Times New Roman"/>
          <w:bCs/>
          <w:sz w:val="24"/>
          <w:szCs w:val="24"/>
        </w:rPr>
        <w:t xml:space="preserve">Las perspectivas para los próximos años acentúan la progresión de este importante colectivo </w:t>
      </w:r>
      <w:r w:rsidRPr="007B07C5">
        <w:rPr>
          <w:rFonts w:ascii="Times New Roman" w:hAnsi="Times New Roman" w:cs="Times New Roman"/>
          <w:bCs/>
          <w:sz w:val="24"/>
          <w:szCs w:val="24"/>
        </w:rPr>
        <w:lastRenderedPageBreak/>
        <w:t>y, con ello, la presión sobre los recursos privados y públicos para atender sus necesidades</w:t>
      </w:r>
      <w:r w:rsidRPr="007B07C5">
        <w:rPr>
          <w:rFonts w:ascii="Times New Roman" w:hAnsi="Times New Roman" w:cs="Times New Roman"/>
          <w:sz w:val="24"/>
          <w:szCs w:val="24"/>
        </w:rPr>
        <w:t xml:space="preserve"> (</w:t>
      </w:r>
      <w:r w:rsidR="00077DD7" w:rsidRPr="007B07C5">
        <w:rPr>
          <w:rFonts w:ascii="Times New Roman" w:hAnsi="Times New Roman" w:cs="Times New Roman"/>
          <w:sz w:val="24"/>
          <w:szCs w:val="24"/>
        </w:rPr>
        <w:t>CAIXA CATALUNYA</w:t>
      </w:r>
      <w:r w:rsidRPr="007B07C5">
        <w:rPr>
          <w:rFonts w:ascii="Times New Roman" w:hAnsi="Times New Roman" w:cs="Times New Roman"/>
          <w:sz w:val="24"/>
          <w:szCs w:val="24"/>
        </w:rPr>
        <w:t xml:space="preserve">, 2009). </w:t>
      </w:r>
    </w:p>
    <w:p w:rsidR="002165B0" w:rsidRDefault="002165B0" w:rsidP="00B14DB7">
      <w:pPr>
        <w:ind w:firstLine="284"/>
        <w:jc w:val="both"/>
        <w:rPr>
          <w:rFonts w:ascii="Times New Roman" w:hAnsi="Times New Roman" w:cs="Times New Roman"/>
          <w:sz w:val="24"/>
          <w:szCs w:val="24"/>
        </w:rPr>
      </w:pPr>
    </w:p>
    <w:p w:rsidR="002165B0" w:rsidRDefault="002165B0" w:rsidP="002165B0">
      <w:pPr>
        <w:jc w:val="center"/>
        <w:rPr>
          <w:rFonts w:ascii="Times New Roman" w:hAnsi="Times New Roman" w:cs="Times New Roman"/>
          <w:sz w:val="24"/>
          <w:szCs w:val="24"/>
        </w:rPr>
      </w:pPr>
      <w:r>
        <w:rPr>
          <w:rFonts w:ascii="Times New Roman" w:hAnsi="Times New Roman" w:cs="Times New Roman"/>
          <w:sz w:val="24"/>
          <w:szCs w:val="24"/>
        </w:rPr>
        <w:t>FIGURA 6</w:t>
      </w:r>
    </w:p>
    <w:p w:rsidR="002165B0" w:rsidRPr="001F70AE" w:rsidRDefault="002165B0" w:rsidP="002165B0">
      <w:pPr>
        <w:jc w:val="center"/>
        <w:rPr>
          <w:rFonts w:ascii="Times New Roman" w:hAnsi="Times New Roman" w:cs="Times New Roman"/>
          <w:sz w:val="24"/>
          <w:szCs w:val="24"/>
        </w:rPr>
      </w:pPr>
      <w:r w:rsidRPr="001F70AE">
        <w:rPr>
          <w:rFonts w:ascii="Times New Roman" w:hAnsi="Times New Roman" w:cs="Times New Roman"/>
          <w:sz w:val="24"/>
          <w:szCs w:val="24"/>
        </w:rPr>
        <w:t>Evolución del número de personas mayores por cohortes de edad en base 10</w:t>
      </w:r>
      <w:r>
        <w:rPr>
          <w:rFonts w:ascii="Times New Roman" w:hAnsi="Times New Roman" w:cs="Times New Roman"/>
          <w:sz w:val="24"/>
          <w:szCs w:val="24"/>
        </w:rPr>
        <w:t>0 en la Región de Murcia, para el periodo comprendido entre 2000-2013</w:t>
      </w:r>
    </w:p>
    <w:p w:rsidR="002165B0" w:rsidRPr="007B07C5" w:rsidRDefault="002165B0" w:rsidP="002165B0">
      <w:pPr>
        <w:jc w:val="center"/>
        <w:rPr>
          <w:rFonts w:ascii="Times New Roman" w:hAnsi="Times New Roman" w:cs="Times New Roman"/>
          <w:sz w:val="24"/>
          <w:szCs w:val="24"/>
        </w:rPr>
      </w:pPr>
      <w:r w:rsidRPr="007B07C5">
        <w:rPr>
          <w:rFonts w:ascii="Times New Roman" w:hAnsi="Times New Roman" w:cs="Times New Roman"/>
          <w:noProof/>
          <w:sz w:val="24"/>
          <w:szCs w:val="24"/>
          <w:lang w:eastAsia="es-ES"/>
        </w:rPr>
        <w:drawing>
          <wp:inline distT="0" distB="0" distL="0" distR="0">
            <wp:extent cx="3895725" cy="5705475"/>
            <wp:effectExtent l="0" t="0" r="0" b="0"/>
            <wp:docPr id="21" name="Gráfico 15"/>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rsidR="002165B0" w:rsidRPr="007B07C5" w:rsidRDefault="002165B0" w:rsidP="002165B0">
      <w:pPr>
        <w:jc w:val="both"/>
        <w:rPr>
          <w:rFonts w:ascii="Times New Roman" w:eastAsia="Times New Roman" w:hAnsi="Times New Roman" w:cs="Times New Roman"/>
          <w:color w:val="000000"/>
          <w:sz w:val="24"/>
          <w:szCs w:val="24"/>
        </w:rPr>
      </w:pPr>
      <w:r w:rsidRPr="007B07C5">
        <w:rPr>
          <w:rFonts w:ascii="Times New Roman" w:eastAsia="Times New Roman" w:hAnsi="Times New Roman" w:cs="Times New Roman"/>
          <w:color w:val="000000"/>
          <w:sz w:val="24"/>
          <w:szCs w:val="24"/>
        </w:rPr>
        <w:t>Fuente: Elaboración propia a partir de los datos extraídos del CREM.</w:t>
      </w:r>
    </w:p>
    <w:p w:rsidR="002165B0" w:rsidRDefault="002165B0" w:rsidP="00210056">
      <w:pPr>
        <w:spacing w:line="360" w:lineRule="auto"/>
        <w:ind w:firstLine="284"/>
        <w:jc w:val="both"/>
        <w:rPr>
          <w:rFonts w:ascii="Times New Roman" w:hAnsi="Times New Roman" w:cs="Times New Roman"/>
          <w:sz w:val="24"/>
          <w:szCs w:val="24"/>
        </w:rPr>
      </w:pPr>
    </w:p>
    <w:p w:rsidR="00B14DB7" w:rsidRDefault="00210056" w:rsidP="00B14DB7">
      <w:pPr>
        <w:spacing w:line="360" w:lineRule="auto"/>
        <w:ind w:firstLine="284"/>
        <w:jc w:val="both"/>
        <w:rPr>
          <w:rFonts w:ascii="Times New Roman" w:hAnsi="Times New Roman" w:cs="Times New Roman"/>
          <w:sz w:val="24"/>
          <w:szCs w:val="24"/>
        </w:rPr>
      </w:pPr>
      <w:r w:rsidRPr="007B07C5">
        <w:rPr>
          <w:rFonts w:ascii="Times New Roman" w:eastAsia="Times New Roman" w:hAnsi="Times New Roman" w:cs="Times New Roman"/>
          <w:color w:val="000000"/>
          <w:sz w:val="24"/>
          <w:szCs w:val="24"/>
        </w:rPr>
        <w:t>La evolución de las variables demográficas descritas ha hecho que se modifique la fo</w:t>
      </w:r>
      <w:r>
        <w:rPr>
          <w:rFonts w:ascii="Times New Roman" w:eastAsia="Times New Roman" w:hAnsi="Times New Roman" w:cs="Times New Roman"/>
          <w:color w:val="000000"/>
          <w:sz w:val="24"/>
          <w:szCs w:val="24"/>
        </w:rPr>
        <w:t>rma de la pirámide de población (Figuras 7 y 8)</w:t>
      </w:r>
      <w:r w:rsidRPr="007B07C5">
        <w:rPr>
          <w:rFonts w:ascii="Times New Roman" w:eastAsia="Times New Roman" w:hAnsi="Times New Roman" w:cs="Times New Roman"/>
          <w:color w:val="000000"/>
          <w:sz w:val="24"/>
          <w:szCs w:val="24"/>
        </w:rPr>
        <w:t xml:space="preserve">. </w:t>
      </w:r>
      <w:r w:rsidRPr="007B07C5">
        <w:rPr>
          <w:rFonts w:ascii="Times New Roman" w:hAnsi="Times New Roman" w:cs="Times New Roman"/>
          <w:sz w:val="24"/>
          <w:szCs w:val="24"/>
        </w:rPr>
        <w:t xml:space="preserve">De esta evolución de las pirámides de población de la Región de Murcia se desprende un detalle significativo: la tasa de envejecimiento demográfico cuenta con varios sumandos para crecer de modo acusado y sostenido, sobre todo a partir de 2020. Las causas son las siguientes: a) por falta de población debido a la débil natalidad actual; b) por la alta natalidad registrada en España </w:t>
      </w:r>
      <w:r w:rsidRPr="007B07C5">
        <w:rPr>
          <w:rFonts w:ascii="Times New Roman" w:hAnsi="Times New Roman" w:cs="Times New Roman"/>
          <w:sz w:val="24"/>
          <w:szCs w:val="24"/>
        </w:rPr>
        <w:lastRenderedPageBreak/>
        <w:t>durante el periodo 1955-1976 (</w:t>
      </w:r>
      <w:r w:rsidRPr="007B07C5">
        <w:rPr>
          <w:rFonts w:ascii="Times New Roman" w:hAnsi="Times New Roman" w:cs="Times New Roman"/>
          <w:i/>
          <w:sz w:val="24"/>
          <w:szCs w:val="24"/>
        </w:rPr>
        <w:t>baby boom</w:t>
      </w:r>
      <w:r w:rsidRPr="007B07C5">
        <w:rPr>
          <w:rFonts w:ascii="Times New Roman" w:hAnsi="Times New Roman" w:cs="Times New Roman"/>
          <w:sz w:val="24"/>
          <w:szCs w:val="24"/>
        </w:rPr>
        <w:t xml:space="preserve">), que llegarán a la edad de jubilación a partir de 2020; c) por la incorporación masiva de población extranjera a las ensanchadas cohortes correspondientes entre los 20 y 45 años; y d) por el progresivo aumento de la esperanza de vida (GOZÁLVEZ PÉREZ, 2010). </w:t>
      </w:r>
      <w:commentRangeStart w:id="13"/>
      <w:r w:rsidR="006F0F7F">
        <w:rPr>
          <w:rFonts w:ascii="Times New Roman" w:hAnsi="Times New Roman" w:cs="Times New Roman"/>
          <w:sz w:val="24"/>
          <w:szCs w:val="24"/>
        </w:rPr>
        <w:t>De la misma manera se está perdiendo población en las franjas de edad más productivas</w:t>
      </w:r>
      <w:r w:rsidR="006F0F7F" w:rsidRPr="006F0F7F">
        <w:rPr>
          <w:rFonts w:ascii="Times New Roman" w:hAnsi="Times New Roman" w:cs="Times New Roman"/>
          <w:sz w:val="24"/>
        </w:rPr>
        <w:t xml:space="preserve"> </w:t>
      </w:r>
      <w:r w:rsidR="006F0F7F">
        <w:rPr>
          <w:rFonts w:ascii="Times New Roman" w:hAnsi="Times New Roman" w:cs="Times New Roman"/>
          <w:sz w:val="24"/>
        </w:rPr>
        <w:t>(</w:t>
      </w:r>
      <w:r w:rsidR="006F0F7F" w:rsidRPr="006F0F7F">
        <w:rPr>
          <w:rFonts w:ascii="Times New Roman" w:hAnsi="Times New Roman" w:cs="Times New Roman"/>
          <w:sz w:val="24"/>
          <w:szCs w:val="24"/>
        </w:rPr>
        <w:t>RUBIERA, 2014)</w:t>
      </w:r>
      <w:r w:rsidR="006F0F7F">
        <w:rPr>
          <w:rFonts w:ascii="Times New Roman" w:hAnsi="Times New Roman" w:cs="Times New Roman"/>
          <w:sz w:val="24"/>
          <w:szCs w:val="24"/>
        </w:rPr>
        <w:t>.</w:t>
      </w:r>
      <w:r w:rsidR="00E03B9E">
        <w:rPr>
          <w:rFonts w:ascii="Times New Roman" w:hAnsi="Times New Roman" w:cs="Times New Roman"/>
          <w:sz w:val="24"/>
          <w:szCs w:val="24"/>
        </w:rPr>
        <w:t xml:space="preserve"> </w:t>
      </w:r>
      <w:r w:rsidR="00202C49">
        <w:rPr>
          <w:rFonts w:ascii="Times New Roman" w:hAnsi="Times New Roman" w:cs="Times New Roman"/>
          <w:sz w:val="24"/>
          <w:szCs w:val="24"/>
        </w:rPr>
        <w:t>Por lo tanto,</w:t>
      </w:r>
      <w:r w:rsidR="00E03B9E">
        <w:rPr>
          <w:rFonts w:ascii="Times New Roman" w:hAnsi="Times New Roman" w:cs="Times New Roman"/>
          <w:sz w:val="24"/>
          <w:szCs w:val="24"/>
        </w:rPr>
        <w:t xml:space="preserve"> nos queda una pirámide de población con la base estrecha, con una parte central engrosada y una cúspide en progresivo aumento</w:t>
      </w:r>
      <w:r w:rsidR="0029597D">
        <w:rPr>
          <w:rFonts w:ascii="Times New Roman" w:hAnsi="Times New Roman" w:cs="Times New Roman"/>
          <w:sz w:val="24"/>
          <w:szCs w:val="24"/>
        </w:rPr>
        <w:t xml:space="preserve"> (</w:t>
      </w:r>
      <w:r w:rsidR="0029597D" w:rsidRPr="0029597D">
        <w:rPr>
          <w:rFonts w:ascii="Times New Roman" w:hAnsi="Times New Roman" w:cs="Times New Roman"/>
          <w:sz w:val="24"/>
          <w:szCs w:val="24"/>
        </w:rPr>
        <w:t>PÉREZ DÍAZ</w:t>
      </w:r>
      <w:r w:rsidR="0029597D">
        <w:rPr>
          <w:rFonts w:ascii="Times New Roman" w:hAnsi="Times New Roman" w:cs="Times New Roman"/>
          <w:sz w:val="24"/>
          <w:szCs w:val="24"/>
        </w:rPr>
        <w:t xml:space="preserve"> </w:t>
      </w:r>
      <w:r w:rsidR="0029597D" w:rsidRPr="0029597D">
        <w:rPr>
          <w:rFonts w:ascii="Times New Roman" w:hAnsi="Times New Roman" w:cs="Times New Roman"/>
          <w:sz w:val="24"/>
          <w:szCs w:val="24"/>
        </w:rPr>
        <w:t>y LECO BERROCAL</w:t>
      </w:r>
      <w:r w:rsidR="0029597D">
        <w:rPr>
          <w:rFonts w:ascii="Times New Roman" w:hAnsi="Times New Roman" w:cs="Times New Roman"/>
          <w:sz w:val="24"/>
          <w:szCs w:val="24"/>
        </w:rPr>
        <w:t>, 2011).</w:t>
      </w:r>
      <w:commentRangeEnd w:id="13"/>
      <w:r w:rsidR="00F4262F">
        <w:rPr>
          <w:rStyle w:val="Refdecomentario"/>
        </w:rPr>
        <w:commentReference w:id="13"/>
      </w:r>
    </w:p>
    <w:p w:rsidR="00474A75" w:rsidRDefault="00474A75" w:rsidP="00A025FD">
      <w:pPr>
        <w:jc w:val="center"/>
        <w:rPr>
          <w:rFonts w:ascii="Times New Roman" w:hAnsi="Times New Roman" w:cs="Times New Roman"/>
          <w:bCs/>
          <w:sz w:val="24"/>
          <w:szCs w:val="24"/>
        </w:rPr>
      </w:pPr>
      <w:r>
        <w:rPr>
          <w:rFonts w:ascii="Times New Roman" w:hAnsi="Times New Roman" w:cs="Times New Roman"/>
          <w:bCs/>
          <w:sz w:val="24"/>
          <w:szCs w:val="24"/>
        </w:rPr>
        <w:t>FIGURA 7</w:t>
      </w:r>
    </w:p>
    <w:p w:rsidR="00A025FD" w:rsidRPr="00325648" w:rsidRDefault="00A025FD" w:rsidP="00A025FD">
      <w:pPr>
        <w:jc w:val="center"/>
        <w:rPr>
          <w:rFonts w:ascii="Times New Roman" w:hAnsi="Times New Roman" w:cs="Times New Roman"/>
          <w:sz w:val="24"/>
          <w:szCs w:val="24"/>
        </w:rPr>
      </w:pPr>
      <w:r w:rsidRPr="00325648">
        <w:rPr>
          <w:rFonts w:ascii="Times New Roman" w:hAnsi="Times New Roman" w:cs="Times New Roman"/>
          <w:bCs/>
          <w:sz w:val="24"/>
          <w:szCs w:val="24"/>
        </w:rPr>
        <w:t>Pirámide de població</w:t>
      </w:r>
      <w:r w:rsidR="00474A75">
        <w:rPr>
          <w:rFonts w:ascii="Times New Roman" w:hAnsi="Times New Roman" w:cs="Times New Roman"/>
          <w:bCs/>
          <w:sz w:val="24"/>
          <w:szCs w:val="24"/>
        </w:rPr>
        <w:t>n de la Región de Murcia (1981)</w:t>
      </w:r>
    </w:p>
    <w:p w:rsidR="00A025FD" w:rsidRPr="007B07C5" w:rsidRDefault="00A025FD" w:rsidP="00A025FD">
      <w:pPr>
        <w:jc w:val="center"/>
        <w:rPr>
          <w:rFonts w:ascii="Times New Roman" w:hAnsi="Times New Roman" w:cs="Times New Roman"/>
          <w:noProof/>
          <w:sz w:val="24"/>
          <w:szCs w:val="24"/>
        </w:rPr>
      </w:pPr>
      <w:r w:rsidRPr="007B07C5">
        <w:rPr>
          <w:rFonts w:ascii="Times New Roman" w:hAnsi="Times New Roman" w:cs="Times New Roman"/>
          <w:noProof/>
          <w:sz w:val="24"/>
          <w:szCs w:val="24"/>
          <w:lang w:eastAsia="es-ES"/>
        </w:rPr>
        <w:drawing>
          <wp:inline distT="0" distB="0" distL="0" distR="0">
            <wp:extent cx="4309110" cy="2924175"/>
            <wp:effectExtent l="19050" t="0" r="15240" b="0"/>
            <wp:docPr id="3" name="Gráfico 13"/>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rsidR="00A025FD" w:rsidRDefault="00A025FD" w:rsidP="004216AF">
      <w:pPr>
        <w:jc w:val="both"/>
        <w:rPr>
          <w:rFonts w:ascii="Times New Roman" w:hAnsi="Times New Roman" w:cs="Times New Roman"/>
          <w:bCs/>
          <w:sz w:val="24"/>
          <w:szCs w:val="24"/>
        </w:rPr>
      </w:pPr>
      <w:r w:rsidRPr="007B07C5">
        <w:rPr>
          <w:rFonts w:ascii="Times New Roman" w:hAnsi="Times New Roman" w:cs="Times New Roman"/>
          <w:sz w:val="24"/>
          <w:szCs w:val="24"/>
        </w:rPr>
        <w:t>Fuente: Elaboración propia a partir de los datos extraídos del CREM</w:t>
      </w:r>
      <w:r w:rsidRPr="007B07C5">
        <w:rPr>
          <w:rFonts w:ascii="Times New Roman" w:hAnsi="Times New Roman" w:cs="Times New Roman"/>
          <w:bCs/>
          <w:sz w:val="24"/>
          <w:szCs w:val="24"/>
        </w:rPr>
        <w:t>.</w:t>
      </w:r>
    </w:p>
    <w:p w:rsidR="002165B0" w:rsidRDefault="002165B0" w:rsidP="004216AF">
      <w:pPr>
        <w:jc w:val="both"/>
        <w:rPr>
          <w:rFonts w:ascii="Times New Roman" w:hAnsi="Times New Roman" w:cs="Times New Roman"/>
          <w:bCs/>
          <w:sz w:val="24"/>
          <w:szCs w:val="24"/>
        </w:rPr>
      </w:pPr>
    </w:p>
    <w:p w:rsidR="00474A75" w:rsidRDefault="00474A75" w:rsidP="00A025FD">
      <w:pPr>
        <w:jc w:val="center"/>
        <w:rPr>
          <w:rFonts w:ascii="Times New Roman" w:hAnsi="Times New Roman" w:cs="Times New Roman"/>
          <w:bCs/>
          <w:sz w:val="24"/>
          <w:szCs w:val="24"/>
        </w:rPr>
      </w:pPr>
      <w:commentRangeStart w:id="14"/>
      <w:r>
        <w:rPr>
          <w:rFonts w:ascii="Times New Roman" w:hAnsi="Times New Roman" w:cs="Times New Roman"/>
          <w:bCs/>
          <w:sz w:val="24"/>
          <w:szCs w:val="24"/>
        </w:rPr>
        <w:t>FIGURA 8</w:t>
      </w:r>
    </w:p>
    <w:p w:rsidR="00A025FD" w:rsidRPr="00325648" w:rsidRDefault="00A025FD" w:rsidP="00A025FD">
      <w:pPr>
        <w:jc w:val="center"/>
        <w:rPr>
          <w:rFonts w:ascii="Times New Roman" w:hAnsi="Times New Roman" w:cs="Times New Roman"/>
          <w:bCs/>
          <w:sz w:val="24"/>
          <w:szCs w:val="24"/>
        </w:rPr>
      </w:pPr>
      <w:r w:rsidRPr="00325648">
        <w:rPr>
          <w:rFonts w:ascii="Times New Roman" w:hAnsi="Times New Roman" w:cs="Times New Roman"/>
          <w:bCs/>
          <w:sz w:val="24"/>
          <w:szCs w:val="24"/>
        </w:rPr>
        <w:t>Pirámide de poblac</w:t>
      </w:r>
      <w:r w:rsidR="00183BCF">
        <w:rPr>
          <w:rFonts w:ascii="Times New Roman" w:hAnsi="Times New Roman" w:cs="Times New Roman"/>
          <w:bCs/>
          <w:sz w:val="24"/>
          <w:szCs w:val="24"/>
        </w:rPr>
        <w:t>ión de la Región de Murcia (2014</w:t>
      </w:r>
      <w:r w:rsidRPr="00325648">
        <w:rPr>
          <w:rFonts w:ascii="Times New Roman" w:hAnsi="Times New Roman" w:cs="Times New Roman"/>
          <w:bCs/>
          <w:sz w:val="24"/>
          <w:szCs w:val="24"/>
        </w:rPr>
        <w:t>).</w:t>
      </w:r>
    </w:p>
    <w:commentRangeEnd w:id="14"/>
    <w:p w:rsidR="00A025FD" w:rsidRPr="007B07C5" w:rsidRDefault="00183BCF" w:rsidP="00A025FD">
      <w:pPr>
        <w:jc w:val="center"/>
        <w:rPr>
          <w:rFonts w:ascii="Times New Roman" w:hAnsi="Times New Roman" w:cs="Times New Roman"/>
          <w:noProof/>
          <w:sz w:val="24"/>
          <w:szCs w:val="24"/>
        </w:rPr>
      </w:pPr>
      <w:r>
        <w:rPr>
          <w:rStyle w:val="Refdecomentario"/>
        </w:rPr>
        <w:commentReference w:id="14"/>
      </w:r>
      <w:r w:rsidR="00A025FD" w:rsidRPr="007B07C5">
        <w:rPr>
          <w:rFonts w:ascii="Times New Roman" w:hAnsi="Times New Roman" w:cs="Times New Roman"/>
          <w:noProof/>
          <w:sz w:val="24"/>
          <w:szCs w:val="24"/>
          <w:lang w:eastAsia="es-ES"/>
        </w:rPr>
        <w:drawing>
          <wp:inline distT="0" distB="0" distL="0" distR="0">
            <wp:extent cx="4305300" cy="2867025"/>
            <wp:effectExtent l="19050" t="0" r="19050" b="0"/>
            <wp:docPr id="4" name="Gráfico 13"/>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rsidR="00A025FD" w:rsidRPr="007B07C5" w:rsidRDefault="00A025FD" w:rsidP="004216AF">
      <w:pPr>
        <w:jc w:val="both"/>
        <w:rPr>
          <w:rFonts w:ascii="Times New Roman" w:hAnsi="Times New Roman" w:cs="Times New Roman"/>
          <w:sz w:val="24"/>
          <w:szCs w:val="24"/>
        </w:rPr>
      </w:pPr>
      <w:r w:rsidRPr="007B07C5">
        <w:rPr>
          <w:rFonts w:ascii="Times New Roman" w:hAnsi="Times New Roman" w:cs="Times New Roman"/>
          <w:sz w:val="24"/>
          <w:szCs w:val="24"/>
        </w:rPr>
        <w:t>Fuente: Elaboración propia a partir de los datos extraídos del CREM.</w:t>
      </w:r>
    </w:p>
    <w:p w:rsidR="006A1BDD" w:rsidRDefault="006A1BDD" w:rsidP="00D33F54">
      <w:pPr>
        <w:spacing w:line="360" w:lineRule="auto"/>
        <w:ind w:firstLine="284"/>
        <w:jc w:val="both"/>
        <w:rPr>
          <w:rFonts w:ascii="Times New Roman" w:hAnsi="Times New Roman" w:cs="Times New Roman"/>
          <w:bCs/>
          <w:sz w:val="24"/>
          <w:szCs w:val="24"/>
        </w:rPr>
      </w:pPr>
      <w:r w:rsidRPr="007B07C5">
        <w:rPr>
          <w:rFonts w:ascii="Times New Roman" w:hAnsi="Times New Roman" w:cs="Times New Roman"/>
          <w:bCs/>
          <w:sz w:val="24"/>
          <w:szCs w:val="24"/>
        </w:rPr>
        <w:lastRenderedPageBreak/>
        <w:t>Las pirámides de población muestran c</w:t>
      </w:r>
      <w:r>
        <w:rPr>
          <w:rFonts w:ascii="Times New Roman" w:hAnsi="Times New Roman" w:cs="Times New Roman"/>
          <w:bCs/>
          <w:sz w:val="24"/>
          <w:szCs w:val="24"/>
        </w:rPr>
        <w:t>ó</w:t>
      </w:r>
      <w:r w:rsidRPr="007B07C5">
        <w:rPr>
          <w:rFonts w:ascii="Times New Roman" w:hAnsi="Times New Roman" w:cs="Times New Roman"/>
          <w:bCs/>
          <w:sz w:val="24"/>
          <w:szCs w:val="24"/>
        </w:rPr>
        <w:t>mo se ha producido un importante aumento de la población inmigrante</w:t>
      </w:r>
      <w:r>
        <w:rPr>
          <w:rFonts w:ascii="Times New Roman" w:hAnsi="Times New Roman" w:cs="Times New Roman"/>
          <w:bCs/>
          <w:sz w:val="24"/>
          <w:szCs w:val="24"/>
        </w:rPr>
        <w:t>, que ensancha</w:t>
      </w:r>
      <w:r w:rsidRPr="007B07C5">
        <w:rPr>
          <w:rFonts w:ascii="Times New Roman" w:hAnsi="Times New Roman" w:cs="Times New Roman"/>
          <w:bCs/>
          <w:sz w:val="24"/>
          <w:szCs w:val="24"/>
        </w:rPr>
        <w:t xml:space="preserve"> aún más los grupos de edad jóvenes-adultos, situados entre los 25 y 39 años de edad. Estas cohortes se sitúan en condiciones ideales para aumentar la productividad económica y d</w:t>
      </w:r>
      <w:r>
        <w:rPr>
          <w:rFonts w:ascii="Times New Roman" w:hAnsi="Times New Roman" w:cs="Times New Roman"/>
          <w:bCs/>
          <w:sz w:val="24"/>
          <w:szCs w:val="24"/>
        </w:rPr>
        <w:t>emográfica de España, aunque la crisis actual malogra</w:t>
      </w:r>
      <w:r w:rsidRPr="007B07C5">
        <w:rPr>
          <w:rFonts w:ascii="Times New Roman" w:hAnsi="Times New Roman" w:cs="Times New Roman"/>
          <w:bCs/>
          <w:sz w:val="24"/>
          <w:szCs w:val="24"/>
        </w:rPr>
        <w:t xml:space="preserve"> estas excelentes posibilidades (GOZÁLVEZ PÉREZ, 2010). Por el contrario, los extranjeros tienen poca presencia en los grupos de más de 65 años, lo que indica que se trata de una inmigración de carácte</w:t>
      </w:r>
      <w:r>
        <w:rPr>
          <w:rFonts w:ascii="Times New Roman" w:hAnsi="Times New Roman" w:cs="Times New Roman"/>
          <w:bCs/>
          <w:sz w:val="24"/>
          <w:szCs w:val="24"/>
        </w:rPr>
        <w:t>r económico en su mayor medida</w:t>
      </w:r>
      <w:r w:rsidR="00D33F54" w:rsidRPr="00D33F54">
        <w:rPr>
          <w:rFonts w:ascii="Times New Roman" w:hAnsi="Times New Roman" w:cs="Times New Roman"/>
          <w:bCs/>
          <w:sz w:val="24"/>
          <w:szCs w:val="24"/>
        </w:rPr>
        <w:t>, mientras que tiene poco peso la inmigración de ocio y tiempo libre</w:t>
      </w:r>
      <w:r w:rsidR="0007498F">
        <w:rPr>
          <w:rFonts w:ascii="Times New Roman" w:hAnsi="Times New Roman" w:cs="Times New Roman"/>
          <w:bCs/>
          <w:sz w:val="24"/>
          <w:szCs w:val="24"/>
        </w:rPr>
        <w:t>.</w:t>
      </w:r>
    </w:p>
    <w:p w:rsidR="007B07C5" w:rsidRDefault="007B07C5" w:rsidP="00210056">
      <w:pPr>
        <w:spacing w:line="360" w:lineRule="auto"/>
        <w:ind w:firstLine="284"/>
        <w:jc w:val="both"/>
        <w:rPr>
          <w:rFonts w:ascii="Times New Roman" w:hAnsi="Times New Roman" w:cs="Times New Roman"/>
          <w:bCs/>
          <w:sz w:val="24"/>
          <w:szCs w:val="24"/>
        </w:rPr>
      </w:pPr>
      <w:r w:rsidRPr="007B07C5">
        <w:rPr>
          <w:rFonts w:ascii="Times New Roman" w:hAnsi="Times New Roman" w:cs="Times New Roman"/>
          <w:bCs/>
          <w:sz w:val="24"/>
          <w:szCs w:val="24"/>
        </w:rPr>
        <w:t>El engrosamiento de la pirámide de población en su parte central se ha visto favorecido por la intensa inmigración acontecida en España, pero de manera más destacada en la Región de Mur</w:t>
      </w:r>
      <w:r w:rsidR="003C1894">
        <w:rPr>
          <w:rFonts w:ascii="Times New Roman" w:hAnsi="Times New Roman" w:cs="Times New Roman"/>
          <w:bCs/>
          <w:sz w:val="24"/>
          <w:szCs w:val="24"/>
        </w:rPr>
        <w:t>cia</w:t>
      </w:r>
      <w:r w:rsidR="00A90F6B">
        <w:rPr>
          <w:rFonts w:ascii="Times New Roman" w:hAnsi="Times New Roman" w:cs="Times New Roman"/>
          <w:bCs/>
          <w:sz w:val="24"/>
          <w:szCs w:val="24"/>
        </w:rPr>
        <w:t xml:space="preserve"> </w:t>
      </w:r>
      <w:r w:rsidR="00A90F6B" w:rsidRPr="00A90F6B">
        <w:rPr>
          <w:rFonts w:ascii="Times New Roman" w:hAnsi="Times New Roman" w:cs="Times New Roman"/>
          <w:bCs/>
          <w:sz w:val="24"/>
          <w:szCs w:val="24"/>
        </w:rPr>
        <w:t>(Figura 9)</w:t>
      </w:r>
      <w:r w:rsidR="003C1894">
        <w:rPr>
          <w:rFonts w:ascii="Times New Roman" w:hAnsi="Times New Roman" w:cs="Times New Roman"/>
          <w:bCs/>
          <w:sz w:val="24"/>
          <w:szCs w:val="24"/>
        </w:rPr>
        <w:t xml:space="preserve">, entre otras. </w:t>
      </w:r>
      <w:r w:rsidR="003C1894" w:rsidRPr="007B07C5">
        <w:rPr>
          <w:rFonts w:ascii="Times New Roman" w:hAnsi="Times New Roman" w:cs="Times New Roman"/>
          <w:bCs/>
          <w:sz w:val="24"/>
          <w:szCs w:val="24"/>
        </w:rPr>
        <w:t>Desde</w:t>
      </w:r>
      <w:r w:rsidRPr="007B07C5">
        <w:rPr>
          <w:rFonts w:ascii="Times New Roman" w:hAnsi="Times New Roman" w:cs="Times New Roman"/>
          <w:bCs/>
          <w:sz w:val="24"/>
          <w:szCs w:val="24"/>
        </w:rPr>
        <w:t xml:space="preserve"> principios del siglo XXI hasta 2007, la </w:t>
      </w:r>
      <w:r w:rsidR="003C1894">
        <w:rPr>
          <w:rFonts w:ascii="Times New Roman" w:hAnsi="Times New Roman" w:cs="Times New Roman"/>
          <w:bCs/>
          <w:sz w:val="24"/>
          <w:szCs w:val="24"/>
        </w:rPr>
        <w:t>comunidad murciana</w:t>
      </w:r>
      <w:r w:rsidRPr="007B07C5">
        <w:rPr>
          <w:rFonts w:ascii="Times New Roman" w:hAnsi="Times New Roman" w:cs="Times New Roman"/>
          <w:bCs/>
          <w:sz w:val="24"/>
          <w:szCs w:val="24"/>
        </w:rPr>
        <w:t xml:space="preserve"> ha sido muy favorable en cuanto a la recepción de inmigrantes extranjeros</w:t>
      </w:r>
      <w:r w:rsidR="003C1894">
        <w:rPr>
          <w:rFonts w:ascii="Times New Roman" w:hAnsi="Times New Roman" w:cs="Times New Roman"/>
          <w:bCs/>
          <w:sz w:val="24"/>
          <w:szCs w:val="24"/>
        </w:rPr>
        <w:t xml:space="preserve"> (Figura </w:t>
      </w:r>
      <w:r w:rsidR="00793D41">
        <w:rPr>
          <w:rFonts w:ascii="Times New Roman" w:hAnsi="Times New Roman" w:cs="Times New Roman"/>
          <w:bCs/>
          <w:sz w:val="24"/>
          <w:szCs w:val="24"/>
        </w:rPr>
        <w:t>10</w:t>
      </w:r>
      <w:r w:rsidR="003C1894">
        <w:rPr>
          <w:rFonts w:ascii="Times New Roman" w:hAnsi="Times New Roman" w:cs="Times New Roman"/>
          <w:bCs/>
          <w:sz w:val="24"/>
          <w:szCs w:val="24"/>
        </w:rPr>
        <w:t>)</w:t>
      </w:r>
      <w:r w:rsidRPr="007B07C5">
        <w:rPr>
          <w:rFonts w:ascii="Times New Roman" w:hAnsi="Times New Roman" w:cs="Times New Roman"/>
          <w:bCs/>
          <w:sz w:val="24"/>
          <w:szCs w:val="24"/>
        </w:rPr>
        <w:t>.</w:t>
      </w:r>
    </w:p>
    <w:p w:rsidR="000F442E" w:rsidRDefault="000F442E" w:rsidP="00210056">
      <w:pPr>
        <w:spacing w:line="360" w:lineRule="auto"/>
        <w:ind w:firstLine="284"/>
        <w:jc w:val="both"/>
        <w:rPr>
          <w:rFonts w:ascii="Times New Roman" w:hAnsi="Times New Roman" w:cs="Times New Roman"/>
          <w:bCs/>
          <w:sz w:val="24"/>
          <w:szCs w:val="24"/>
        </w:rPr>
      </w:pPr>
    </w:p>
    <w:p w:rsidR="00474A75" w:rsidRDefault="00474A75" w:rsidP="00474A75">
      <w:pPr>
        <w:jc w:val="center"/>
        <w:rPr>
          <w:rFonts w:ascii="Times New Roman" w:hAnsi="Times New Roman" w:cs="Times New Roman"/>
          <w:bCs/>
          <w:sz w:val="24"/>
          <w:szCs w:val="24"/>
        </w:rPr>
      </w:pPr>
      <w:commentRangeStart w:id="15"/>
      <w:r>
        <w:rPr>
          <w:rFonts w:ascii="Times New Roman" w:hAnsi="Times New Roman" w:cs="Times New Roman"/>
          <w:bCs/>
          <w:sz w:val="24"/>
          <w:szCs w:val="24"/>
        </w:rPr>
        <w:t>FIGURA 9</w:t>
      </w:r>
    </w:p>
    <w:p w:rsidR="003C1894" w:rsidRDefault="003C1894" w:rsidP="00474A75">
      <w:pPr>
        <w:jc w:val="center"/>
        <w:rPr>
          <w:rFonts w:ascii="Times New Roman" w:hAnsi="Times New Roman" w:cs="Times New Roman"/>
          <w:bCs/>
          <w:sz w:val="24"/>
          <w:szCs w:val="24"/>
        </w:rPr>
      </w:pPr>
      <w:r w:rsidRPr="00325648">
        <w:rPr>
          <w:rFonts w:ascii="Times New Roman" w:hAnsi="Times New Roman" w:cs="Times New Roman"/>
          <w:bCs/>
          <w:sz w:val="24"/>
          <w:szCs w:val="24"/>
        </w:rPr>
        <w:t xml:space="preserve">Pirámide de población de la Región de Murcia, según españoles y extranjeros </w:t>
      </w:r>
      <w:r>
        <w:rPr>
          <w:rFonts w:ascii="Times New Roman" w:hAnsi="Times New Roman" w:cs="Times New Roman"/>
          <w:bCs/>
          <w:sz w:val="24"/>
          <w:szCs w:val="24"/>
        </w:rPr>
        <w:t>(</w:t>
      </w:r>
      <w:r w:rsidRPr="00325648">
        <w:rPr>
          <w:rFonts w:ascii="Times New Roman" w:hAnsi="Times New Roman" w:cs="Times New Roman"/>
          <w:bCs/>
          <w:sz w:val="24"/>
          <w:szCs w:val="24"/>
        </w:rPr>
        <w:t>201</w:t>
      </w:r>
      <w:r w:rsidR="0096457F">
        <w:rPr>
          <w:rFonts w:ascii="Times New Roman" w:hAnsi="Times New Roman" w:cs="Times New Roman"/>
          <w:bCs/>
          <w:sz w:val="24"/>
          <w:szCs w:val="24"/>
        </w:rPr>
        <w:t>4</w:t>
      </w:r>
      <w:r>
        <w:rPr>
          <w:rFonts w:ascii="Times New Roman" w:hAnsi="Times New Roman" w:cs="Times New Roman"/>
          <w:bCs/>
          <w:sz w:val="24"/>
          <w:szCs w:val="24"/>
        </w:rPr>
        <w:t>)</w:t>
      </w:r>
    </w:p>
    <w:commentRangeEnd w:id="15"/>
    <w:p w:rsidR="003C1894" w:rsidRPr="007B07C5" w:rsidRDefault="0096457F" w:rsidP="0007498F">
      <w:pPr>
        <w:spacing w:line="360" w:lineRule="auto"/>
        <w:jc w:val="center"/>
        <w:rPr>
          <w:rFonts w:ascii="Times New Roman" w:hAnsi="Times New Roman" w:cs="Times New Roman"/>
          <w:bCs/>
          <w:sz w:val="24"/>
          <w:szCs w:val="24"/>
        </w:rPr>
      </w:pPr>
      <w:r>
        <w:rPr>
          <w:rStyle w:val="Refdecomentario"/>
        </w:rPr>
        <w:commentReference w:id="15"/>
      </w:r>
      <w:r w:rsidRPr="0096457F">
        <w:rPr>
          <w:rFonts w:ascii="Times New Roman" w:hAnsi="Times New Roman" w:cs="Times New Roman"/>
          <w:bCs/>
          <w:noProof/>
          <w:sz w:val="24"/>
          <w:szCs w:val="24"/>
          <w:lang w:eastAsia="es-ES"/>
        </w:rPr>
        <w:drawing>
          <wp:inline distT="0" distB="0" distL="0" distR="0">
            <wp:extent cx="4581525" cy="3028950"/>
            <wp:effectExtent l="0" t="0" r="0" b="0"/>
            <wp:docPr id="17" name="Gráfico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rsidR="003C1894" w:rsidRPr="007B07C5" w:rsidRDefault="003C1894" w:rsidP="004216AF">
      <w:pPr>
        <w:jc w:val="both"/>
        <w:rPr>
          <w:rFonts w:ascii="Times New Roman" w:hAnsi="Times New Roman" w:cs="Times New Roman"/>
          <w:bCs/>
          <w:sz w:val="24"/>
          <w:szCs w:val="24"/>
        </w:rPr>
      </w:pPr>
      <w:r w:rsidRPr="007B07C5">
        <w:rPr>
          <w:rFonts w:ascii="Times New Roman" w:hAnsi="Times New Roman" w:cs="Times New Roman"/>
          <w:sz w:val="24"/>
          <w:szCs w:val="24"/>
        </w:rPr>
        <w:t>Fuente: Elaboración propia a partir de los datos extraídos del CREM.</w:t>
      </w:r>
    </w:p>
    <w:p w:rsidR="003C1894" w:rsidRDefault="003C1894" w:rsidP="007B07C5">
      <w:pPr>
        <w:jc w:val="both"/>
        <w:rPr>
          <w:rFonts w:ascii="Times New Roman" w:hAnsi="Times New Roman" w:cs="Times New Roman"/>
          <w:bCs/>
          <w:sz w:val="24"/>
          <w:szCs w:val="24"/>
        </w:rPr>
      </w:pPr>
    </w:p>
    <w:p w:rsidR="00A90F6B" w:rsidRDefault="00A90F6B" w:rsidP="00A90F6B">
      <w:pPr>
        <w:spacing w:line="360" w:lineRule="auto"/>
        <w:ind w:firstLine="284"/>
        <w:jc w:val="both"/>
        <w:rPr>
          <w:rFonts w:ascii="Times New Roman" w:hAnsi="Times New Roman" w:cs="Times New Roman"/>
          <w:bCs/>
          <w:sz w:val="24"/>
          <w:szCs w:val="24"/>
        </w:rPr>
      </w:pPr>
      <w:r w:rsidRPr="007B07C5">
        <w:rPr>
          <w:rFonts w:ascii="Times New Roman" w:hAnsi="Times New Roman" w:cs="Times New Roman"/>
          <w:bCs/>
          <w:sz w:val="24"/>
          <w:szCs w:val="24"/>
        </w:rPr>
        <w:t xml:space="preserve">La llegada de inmigrantes ha supuesto la aportación de nuevos individuos mediante dos vías: a través del propio flujo inmigratorio y mediante su reproducción biológica, lo que ha sido beneficioso no sólo para rejuvenecer la estructura demográfica de la población, sino también para sanear su debilitado crecimiento demográfico (MONLLOR DOMÍNGUEZ </w:t>
      </w:r>
      <w:r>
        <w:rPr>
          <w:rFonts w:ascii="Times New Roman" w:hAnsi="Times New Roman" w:cs="Times New Roman"/>
          <w:bCs/>
          <w:sz w:val="24"/>
          <w:szCs w:val="24"/>
        </w:rPr>
        <w:t>y</w:t>
      </w:r>
      <w:r w:rsidRPr="007B07C5">
        <w:rPr>
          <w:rFonts w:ascii="Times New Roman" w:hAnsi="Times New Roman" w:cs="Times New Roman"/>
          <w:bCs/>
          <w:sz w:val="24"/>
          <w:szCs w:val="24"/>
        </w:rPr>
        <w:t xml:space="preserve"> GÓMEZ FAYRÉN, 2004). </w:t>
      </w:r>
    </w:p>
    <w:p w:rsidR="00474A75" w:rsidRDefault="00474A75" w:rsidP="00474A75">
      <w:pPr>
        <w:jc w:val="center"/>
        <w:rPr>
          <w:rFonts w:ascii="Times New Roman" w:hAnsi="Times New Roman" w:cs="Times New Roman"/>
          <w:bCs/>
          <w:sz w:val="24"/>
          <w:szCs w:val="24"/>
        </w:rPr>
      </w:pPr>
      <w:commentRangeStart w:id="16"/>
      <w:r>
        <w:rPr>
          <w:rFonts w:ascii="Times New Roman" w:hAnsi="Times New Roman" w:cs="Times New Roman"/>
          <w:bCs/>
          <w:sz w:val="24"/>
          <w:szCs w:val="24"/>
        </w:rPr>
        <w:lastRenderedPageBreak/>
        <w:t>FIGURA 10</w:t>
      </w:r>
    </w:p>
    <w:p w:rsidR="003C1894" w:rsidRPr="003C1894" w:rsidRDefault="003C1894" w:rsidP="00474A75">
      <w:pPr>
        <w:jc w:val="center"/>
        <w:rPr>
          <w:rFonts w:ascii="Times New Roman" w:hAnsi="Times New Roman" w:cs="Times New Roman"/>
          <w:bCs/>
          <w:sz w:val="24"/>
          <w:szCs w:val="24"/>
        </w:rPr>
      </w:pPr>
      <w:r w:rsidRPr="003C1894">
        <w:rPr>
          <w:rFonts w:ascii="Times New Roman" w:hAnsi="Times New Roman" w:cs="Times New Roman"/>
          <w:bCs/>
          <w:sz w:val="24"/>
          <w:szCs w:val="24"/>
        </w:rPr>
        <w:t>Evolución de las inmigraciones procedentes del extranjero y las emigraciones al extranjero en la Región de Murcia (2002-201</w:t>
      </w:r>
      <w:r w:rsidR="0096457F">
        <w:rPr>
          <w:rFonts w:ascii="Times New Roman" w:hAnsi="Times New Roman" w:cs="Times New Roman"/>
          <w:bCs/>
          <w:sz w:val="24"/>
          <w:szCs w:val="24"/>
        </w:rPr>
        <w:t>3</w:t>
      </w:r>
      <w:r w:rsidRPr="003C1894">
        <w:rPr>
          <w:rFonts w:ascii="Times New Roman" w:hAnsi="Times New Roman" w:cs="Times New Roman"/>
          <w:bCs/>
          <w:sz w:val="24"/>
          <w:szCs w:val="24"/>
        </w:rPr>
        <w:t>)</w:t>
      </w:r>
      <w:r w:rsidR="00474A75" w:rsidRPr="003C1894">
        <w:rPr>
          <w:rFonts w:ascii="Times New Roman" w:hAnsi="Times New Roman" w:cs="Times New Roman"/>
          <w:bCs/>
          <w:sz w:val="24"/>
          <w:szCs w:val="24"/>
        </w:rPr>
        <w:t xml:space="preserve"> </w:t>
      </w:r>
    </w:p>
    <w:commentRangeEnd w:id="16"/>
    <w:p w:rsidR="003C1894" w:rsidRPr="007B07C5" w:rsidRDefault="00474A75" w:rsidP="003C1894">
      <w:pPr>
        <w:jc w:val="center"/>
        <w:rPr>
          <w:rFonts w:ascii="Times New Roman" w:hAnsi="Times New Roman" w:cs="Times New Roman"/>
          <w:sz w:val="24"/>
          <w:szCs w:val="24"/>
        </w:rPr>
      </w:pPr>
      <w:r>
        <w:rPr>
          <w:rStyle w:val="Refdecomentario"/>
        </w:rPr>
        <w:commentReference w:id="16"/>
      </w:r>
      <w:r w:rsidR="003C1894" w:rsidRPr="007B07C5">
        <w:rPr>
          <w:rFonts w:ascii="Times New Roman" w:hAnsi="Times New Roman" w:cs="Times New Roman"/>
          <w:noProof/>
          <w:sz w:val="24"/>
          <w:szCs w:val="24"/>
          <w:lang w:eastAsia="es-ES"/>
        </w:rPr>
        <w:drawing>
          <wp:inline distT="0" distB="0" distL="0" distR="0">
            <wp:extent cx="4806086" cy="2392071"/>
            <wp:effectExtent l="0" t="0" r="0" b="0"/>
            <wp:docPr id="10" name="Gráfico 10"/>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rsidR="003C1894" w:rsidRPr="007B07C5" w:rsidRDefault="003C1894" w:rsidP="004216AF">
      <w:pPr>
        <w:jc w:val="both"/>
        <w:rPr>
          <w:rFonts w:ascii="Times New Roman" w:eastAsia="Times New Roman" w:hAnsi="Times New Roman" w:cs="Times New Roman"/>
          <w:color w:val="000000"/>
          <w:sz w:val="24"/>
          <w:szCs w:val="24"/>
        </w:rPr>
      </w:pPr>
      <w:r w:rsidRPr="007B07C5">
        <w:rPr>
          <w:rFonts w:ascii="Times New Roman" w:eastAsia="Times New Roman" w:hAnsi="Times New Roman" w:cs="Times New Roman"/>
          <w:color w:val="000000"/>
          <w:sz w:val="24"/>
          <w:szCs w:val="24"/>
        </w:rPr>
        <w:t>Fuente: Elaboración propia a partir de los datos extraídos del CREM.</w:t>
      </w:r>
    </w:p>
    <w:p w:rsidR="000F442E" w:rsidRPr="007B07C5" w:rsidRDefault="000F442E" w:rsidP="00A90F6B">
      <w:pPr>
        <w:spacing w:line="360" w:lineRule="auto"/>
        <w:jc w:val="both"/>
        <w:rPr>
          <w:rFonts w:ascii="Times New Roman" w:hAnsi="Times New Roman" w:cs="Times New Roman"/>
          <w:bCs/>
          <w:sz w:val="24"/>
          <w:szCs w:val="24"/>
        </w:rPr>
      </w:pPr>
    </w:p>
    <w:p w:rsidR="007B07C5" w:rsidRPr="007B07C5" w:rsidRDefault="007B07C5" w:rsidP="00210056">
      <w:pPr>
        <w:spacing w:line="360" w:lineRule="auto"/>
        <w:ind w:firstLine="284"/>
        <w:jc w:val="both"/>
        <w:rPr>
          <w:rFonts w:ascii="Times New Roman" w:hAnsi="Times New Roman" w:cs="Times New Roman"/>
          <w:bCs/>
          <w:sz w:val="24"/>
          <w:szCs w:val="24"/>
        </w:rPr>
      </w:pPr>
      <w:r w:rsidRPr="007B07C5">
        <w:rPr>
          <w:rFonts w:ascii="Times New Roman" w:hAnsi="Times New Roman" w:cs="Times New Roman"/>
          <w:bCs/>
          <w:sz w:val="24"/>
          <w:szCs w:val="24"/>
        </w:rPr>
        <w:t xml:space="preserve">En general los niveles de fecundidad de las mujeres extranjeras, en edades más tempranas, son bastante más elevados que los que acusan las mujeres españolas. La causa de este fenómeno hay que vincularla al desigual modo de concebir la familia que tienen estos dos colectivos poblacionales y a la importancia que alcanzan los hijos para el colectivo inmigrante, quienes los contemplan más </w:t>
      </w:r>
      <w:r w:rsidR="00E93F4C">
        <w:rPr>
          <w:rFonts w:ascii="Times New Roman" w:hAnsi="Times New Roman" w:cs="Times New Roman"/>
          <w:bCs/>
          <w:sz w:val="24"/>
          <w:szCs w:val="24"/>
        </w:rPr>
        <w:t>como s</w:t>
      </w:r>
      <w:r w:rsidRPr="007B07C5">
        <w:rPr>
          <w:rFonts w:ascii="Times New Roman" w:hAnsi="Times New Roman" w:cs="Times New Roman"/>
          <w:bCs/>
          <w:sz w:val="24"/>
          <w:szCs w:val="24"/>
        </w:rPr>
        <w:t>oporte y ayuda para la familia</w:t>
      </w:r>
      <w:r w:rsidR="00E93F4C">
        <w:rPr>
          <w:rFonts w:ascii="Times New Roman" w:hAnsi="Times New Roman" w:cs="Times New Roman"/>
          <w:bCs/>
          <w:sz w:val="24"/>
          <w:szCs w:val="24"/>
        </w:rPr>
        <w:t xml:space="preserve"> </w:t>
      </w:r>
      <w:r w:rsidR="00E93F4C" w:rsidRPr="00E93F4C">
        <w:rPr>
          <w:rFonts w:ascii="Times New Roman" w:hAnsi="Times New Roman" w:cs="Times New Roman"/>
          <w:bCs/>
          <w:sz w:val="24"/>
          <w:szCs w:val="24"/>
        </w:rPr>
        <w:t>que como una carga</w:t>
      </w:r>
      <w:r w:rsidRPr="007B07C5">
        <w:rPr>
          <w:rFonts w:ascii="Times New Roman" w:hAnsi="Times New Roman" w:cs="Times New Roman"/>
          <w:bCs/>
          <w:sz w:val="24"/>
          <w:szCs w:val="24"/>
        </w:rPr>
        <w:t xml:space="preserve"> (</w:t>
      </w:r>
      <w:r w:rsidR="00077DD7" w:rsidRPr="007B07C5">
        <w:rPr>
          <w:rFonts w:ascii="Times New Roman" w:hAnsi="Times New Roman" w:cs="Times New Roman"/>
          <w:bCs/>
          <w:sz w:val="24"/>
          <w:szCs w:val="24"/>
        </w:rPr>
        <w:t xml:space="preserve">GÓMEZ FAYRÉN </w:t>
      </w:r>
      <w:r w:rsidR="00223CFA">
        <w:rPr>
          <w:rFonts w:ascii="Times New Roman" w:hAnsi="Times New Roman" w:cs="Times New Roman"/>
          <w:bCs/>
          <w:sz w:val="24"/>
          <w:szCs w:val="24"/>
        </w:rPr>
        <w:t>y</w:t>
      </w:r>
      <w:r w:rsidR="00077DD7" w:rsidRPr="007B07C5">
        <w:rPr>
          <w:rFonts w:ascii="Times New Roman" w:hAnsi="Times New Roman" w:cs="Times New Roman"/>
          <w:bCs/>
          <w:sz w:val="24"/>
          <w:szCs w:val="24"/>
        </w:rPr>
        <w:t xml:space="preserve"> MONLLOR DOMÍNGUEZ</w:t>
      </w:r>
      <w:r w:rsidRPr="007B07C5">
        <w:rPr>
          <w:rFonts w:ascii="Times New Roman" w:hAnsi="Times New Roman" w:cs="Times New Roman"/>
          <w:bCs/>
          <w:sz w:val="24"/>
          <w:szCs w:val="24"/>
        </w:rPr>
        <w:t>, 2005).</w:t>
      </w:r>
    </w:p>
    <w:p w:rsidR="007B07C5" w:rsidRPr="007B07C5" w:rsidRDefault="007B07C5" w:rsidP="00210056">
      <w:pPr>
        <w:spacing w:line="360" w:lineRule="auto"/>
        <w:ind w:firstLine="284"/>
        <w:jc w:val="both"/>
        <w:rPr>
          <w:rFonts w:ascii="Times New Roman" w:hAnsi="Times New Roman" w:cs="Times New Roman"/>
          <w:bCs/>
          <w:sz w:val="24"/>
          <w:szCs w:val="24"/>
        </w:rPr>
      </w:pPr>
      <w:r w:rsidRPr="007B07C5">
        <w:rPr>
          <w:rFonts w:ascii="Times New Roman" w:hAnsi="Times New Roman" w:cs="Times New Roman"/>
          <w:bCs/>
          <w:sz w:val="24"/>
          <w:szCs w:val="24"/>
        </w:rPr>
        <w:t>Por edades, las mayores diferencias se sitúan entre los 15 y los 24 años (</w:t>
      </w:r>
      <w:r w:rsidR="000E330D">
        <w:rPr>
          <w:rFonts w:ascii="Times New Roman" w:hAnsi="Times New Roman" w:cs="Times New Roman"/>
          <w:bCs/>
          <w:sz w:val="24"/>
          <w:szCs w:val="24"/>
        </w:rPr>
        <w:t>Figura</w:t>
      </w:r>
      <w:r w:rsidR="00793D41">
        <w:rPr>
          <w:rFonts w:ascii="Times New Roman" w:hAnsi="Times New Roman" w:cs="Times New Roman"/>
          <w:bCs/>
          <w:sz w:val="24"/>
          <w:szCs w:val="24"/>
        </w:rPr>
        <w:t xml:space="preserve"> 11</w:t>
      </w:r>
      <w:r w:rsidRPr="007B07C5">
        <w:rPr>
          <w:rFonts w:ascii="Times New Roman" w:hAnsi="Times New Roman" w:cs="Times New Roman"/>
          <w:bCs/>
          <w:sz w:val="24"/>
          <w:szCs w:val="24"/>
        </w:rPr>
        <w:t>). En estos grupos de edades los niveles de fecundidad de la mujer extranjera superan con creces a los de la mujer española, destacando el grupo de 15-19 años, donde el nivel de fecundidad de la mujer inmigrante es muy superior al de las españolas. De esa forma, también el número medio de hijos por mujer extranjera es mayor (Figura 1</w:t>
      </w:r>
      <w:r w:rsidR="00793D41">
        <w:rPr>
          <w:rFonts w:ascii="Times New Roman" w:hAnsi="Times New Roman" w:cs="Times New Roman"/>
          <w:bCs/>
          <w:sz w:val="24"/>
          <w:szCs w:val="24"/>
        </w:rPr>
        <w:t>2</w:t>
      </w:r>
      <w:r w:rsidRPr="007B07C5">
        <w:rPr>
          <w:rFonts w:ascii="Times New Roman" w:hAnsi="Times New Roman" w:cs="Times New Roman"/>
          <w:bCs/>
          <w:sz w:val="24"/>
          <w:szCs w:val="24"/>
        </w:rPr>
        <w:t>). Igualmente es superior al promedio nacional, que nunca supera los 2,1 hijos por mujer. Por ello, la proporción de hijos nacidos de madres extranjeras ha ganado un notable significado sobre el total de la población.</w:t>
      </w:r>
    </w:p>
    <w:p w:rsidR="0059589C" w:rsidRPr="007B07C5" w:rsidRDefault="0059589C" w:rsidP="0059589C">
      <w:pPr>
        <w:spacing w:line="360" w:lineRule="auto"/>
        <w:ind w:firstLine="284"/>
        <w:jc w:val="both"/>
        <w:rPr>
          <w:rFonts w:ascii="Times New Roman" w:hAnsi="Times New Roman" w:cs="Times New Roman"/>
          <w:bCs/>
          <w:sz w:val="24"/>
          <w:szCs w:val="24"/>
        </w:rPr>
      </w:pPr>
      <w:r>
        <w:rPr>
          <w:rFonts w:ascii="Times New Roman" w:hAnsi="Times New Roman" w:cs="Times New Roman"/>
          <w:bCs/>
          <w:sz w:val="24"/>
          <w:szCs w:val="24"/>
        </w:rPr>
        <w:t>Pero, ¿cuál será la</w:t>
      </w:r>
      <w:r w:rsidRPr="007B07C5">
        <w:rPr>
          <w:rFonts w:ascii="Times New Roman" w:hAnsi="Times New Roman" w:cs="Times New Roman"/>
          <w:bCs/>
          <w:sz w:val="24"/>
          <w:szCs w:val="24"/>
        </w:rPr>
        <w:t xml:space="preserve"> tendencia futura de las tasas de fecundidad de las mujeres inmigrantes</w:t>
      </w:r>
      <w:r>
        <w:rPr>
          <w:rFonts w:ascii="Times New Roman" w:hAnsi="Times New Roman" w:cs="Times New Roman"/>
          <w:bCs/>
          <w:sz w:val="24"/>
          <w:szCs w:val="24"/>
        </w:rPr>
        <w:t>?</w:t>
      </w:r>
      <w:r w:rsidRPr="007B07C5">
        <w:rPr>
          <w:rFonts w:ascii="Times New Roman" w:hAnsi="Times New Roman" w:cs="Times New Roman"/>
          <w:bCs/>
          <w:sz w:val="24"/>
          <w:szCs w:val="24"/>
        </w:rPr>
        <w:t xml:space="preserve"> España no es un país en el que resulte beneficioso tener hijos, porque las ayudas son mínimas. Dado que los inmigrantes vienen a trabajar y pretenden ahorrar dinero o enviarlo a sus familias, no les conviene demasiado tener muchos hijos, pues ello minimiza sus posibilidades de trabajo y su capacidad de ahorro</w:t>
      </w:r>
      <w:r w:rsidRPr="007B07C5">
        <w:rPr>
          <w:rFonts w:ascii="Times New Roman" w:hAnsi="Times New Roman" w:cs="Times New Roman"/>
          <w:sz w:val="24"/>
          <w:szCs w:val="24"/>
        </w:rPr>
        <w:t xml:space="preserve"> </w:t>
      </w:r>
      <w:r w:rsidRPr="007B07C5">
        <w:rPr>
          <w:rFonts w:ascii="Times New Roman" w:hAnsi="Times New Roman" w:cs="Times New Roman"/>
          <w:bCs/>
          <w:sz w:val="24"/>
          <w:szCs w:val="24"/>
        </w:rPr>
        <w:t>(JIMÉNEZ BLASCO, 2008).</w:t>
      </w:r>
    </w:p>
    <w:p w:rsidR="0059589C" w:rsidRDefault="0059589C" w:rsidP="0059589C">
      <w:pPr>
        <w:spacing w:line="360" w:lineRule="auto"/>
        <w:jc w:val="both"/>
        <w:rPr>
          <w:rFonts w:ascii="Times New Roman" w:hAnsi="Times New Roman" w:cs="Times New Roman"/>
          <w:bCs/>
          <w:sz w:val="24"/>
          <w:szCs w:val="24"/>
        </w:rPr>
      </w:pPr>
    </w:p>
    <w:p w:rsidR="00474A75" w:rsidRDefault="00474A75" w:rsidP="00474A75">
      <w:pPr>
        <w:jc w:val="center"/>
        <w:rPr>
          <w:rFonts w:ascii="Times New Roman" w:hAnsi="Times New Roman" w:cs="Times New Roman"/>
          <w:sz w:val="24"/>
          <w:szCs w:val="24"/>
        </w:rPr>
      </w:pPr>
      <w:r>
        <w:rPr>
          <w:rFonts w:ascii="Times New Roman" w:hAnsi="Times New Roman" w:cs="Times New Roman"/>
          <w:sz w:val="24"/>
          <w:szCs w:val="24"/>
        </w:rPr>
        <w:lastRenderedPageBreak/>
        <w:t>FIGURA 11.</w:t>
      </w:r>
    </w:p>
    <w:p w:rsidR="000E330D" w:rsidRPr="000E330D" w:rsidRDefault="000E330D" w:rsidP="00474A75">
      <w:pPr>
        <w:jc w:val="center"/>
        <w:rPr>
          <w:rFonts w:ascii="Times New Roman" w:hAnsi="Times New Roman" w:cs="Times New Roman"/>
          <w:sz w:val="24"/>
          <w:szCs w:val="24"/>
        </w:rPr>
      </w:pPr>
      <w:commentRangeStart w:id="17"/>
      <w:r w:rsidRPr="000E330D">
        <w:rPr>
          <w:rFonts w:ascii="Times New Roman" w:hAnsi="Times New Roman" w:cs="Times New Roman"/>
          <w:sz w:val="24"/>
          <w:szCs w:val="24"/>
        </w:rPr>
        <w:t>Tasas de fecundidad por edad (</w:t>
      </w:r>
      <w:r w:rsidRPr="000E330D">
        <w:rPr>
          <w:rFonts w:ascii="Times New Roman" w:hAnsi="Times New Roman" w:cs="Times New Roman"/>
          <w:noProof/>
          <w:sz w:val="24"/>
          <w:szCs w:val="24"/>
        </w:rPr>
        <w:t>‰</w:t>
      </w:r>
      <w:r w:rsidR="00223CFA">
        <w:rPr>
          <w:rFonts w:ascii="Times New Roman" w:hAnsi="Times New Roman" w:cs="Times New Roman"/>
          <w:sz w:val="24"/>
          <w:szCs w:val="24"/>
        </w:rPr>
        <w:t>)</w:t>
      </w:r>
      <w:r w:rsidR="00E639C6">
        <w:rPr>
          <w:rFonts w:ascii="Times New Roman" w:hAnsi="Times New Roman" w:cs="Times New Roman"/>
          <w:sz w:val="24"/>
          <w:szCs w:val="24"/>
        </w:rPr>
        <w:t xml:space="preserve"> según</w:t>
      </w:r>
      <w:r w:rsidRPr="000E330D">
        <w:rPr>
          <w:rFonts w:ascii="Times New Roman" w:hAnsi="Times New Roman" w:cs="Times New Roman"/>
          <w:sz w:val="24"/>
          <w:szCs w:val="24"/>
        </w:rPr>
        <w:t xml:space="preserve"> nacionalidad de la madre, españolas y extranjeras, </w:t>
      </w:r>
      <w:r w:rsidR="00474A75">
        <w:rPr>
          <w:rFonts w:ascii="Times New Roman" w:hAnsi="Times New Roman" w:cs="Times New Roman"/>
          <w:sz w:val="24"/>
          <w:szCs w:val="24"/>
        </w:rPr>
        <w:t>para la Región de Murcia (201</w:t>
      </w:r>
      <w:r w:rsidR="00501991">
        <w:rPr>
          <w:rFonts w:ascii="Times New Roman" w:hAnsi="Times New Roman" w:cs="Times New Roman"/>
          <w:sz w:val="24"/>
          <w:szCs w:val="24"/>
        </w:rPr>
        <w:t>3</w:t>
      </w:r>
      <w:r w:rsidR="00474A75">
        <w:rPr>
          <w:rFonts w:ascii="Times New Roman" w:hAnsi="Times New Roman" w:cs="Times New Roman"/>
          <w:sz w:val="24"/>
          <w:szCs w:val="24"/>
        </w:rPr>
        <w:t>)</w:t>
      </w:r>
      <w:commentRangeEnd w:id="17"/>
      <w:r w:rsidR="00501991">
        <w:rPr>
          <w:rStyle w:val="Refdecomentario"/>
        </w:rPr>
        <w:commentReference w:id="17"/>
      </w:r>
    </w:p>
    <w:p w:rsidR="000E330D" w:rsidRPr="007B07C5" w:rsidRDefault="000E330D" w:rsidP="000E330D">
      <w:pPr>
        <w:jc w:val="center"/>
        <w:rPr>
          <w:rFonts w:ascii="Times New Roman" w:hAnsi="Times New Roman" w:cs="Times New Roman"/>
          <w:sz w:val="24"/>
          <w:szCs w:val="24"/>
        </w:rPr>
      </w:pPr>
      <w:r w:rsidRPr="007B07C5">
        <w:rPr>
          <w:rFonts w:ascii="Times New Roman" w:hAnsi="Times New Roman" w:cs="Times New Roman"/>
          <w:noProof/>
          <w:sz w:val="24"/>
          <w:szCs w:val="24"/>
          <w:lang w:eastAsia="es-ES"/>
        </w:rPr>
        <w:drawing>
          <wp:inline distT="0" distB="0" distL="0" distR="0">
            <wp:extent cx="4231640" cy="2019300"/>
            <wp:effectExtent l="19050" t="0" r="16510" b="0"/>
            <wp:docPr id="12" name="Gráfico 13"/>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p>
    <w:p w:rsidR="000E330D" w:rsidRDefault="000E330D" w:rsidP="004216AF">
      <w:pPr>
        <w:jc w:val="both"/>
        <w:rPr>
          <w:rFonts w:ascii="Times New Roman" w:hAnsi="Times New Roman" w:cs="Times New Roman"/>
          <w:noProof/>
          <w:sz w:val="24"/>
          <w:szCs w:val="24"/>
        </w:rPr>
      </w:pPr>
      <w:r w:rsidRPr="007B07C5">
        <w:rPr>
          <w:rFonts w:ascii="Times New Roman" w:hAnsi="Times New Roman" w:cs="Times New Roman"/>
          <w:noProof/>
          <w:sz w:val="24"/>
          <w:szCs w:val="24"/>
        </w:rPr>
        <w:t>Fuente: Elaboración propia a partir de los datos extraídos del INE.</w:t>
      </w:r>
    </w:p>
    <w:p w:rsidR="0059589C" w:rsidRPr="007B07C5" w:rsidRDefault="0059589C" w:rsidP="0059589C">
      <w:pPr>
        <w:spacing w:line="360" w:lineRule="auto"/>
        <w:jc w:val="both"/>
        <w:rPr>
          <w:rFonts w:ascii="Times New Roman" w:hAnsi="Times New Roman" w:cs="Times New Roman"/>
          <w:noProof/>
          <w:sz w:val="24"/>
          <w:szCs w:val="24"/>
        </w:rPr>
      </w:pPr>
    </w:p>
    <w:p w:rsidR="00474A75" w:rsidRDefault="00474A75" w:rsidP="000020F5">
      <w:pPr>
        <w:jc w:val="center"/>
        <w:rPr>
          <w:rFonts w:ascii="Times New Roman" w:hAnsi="Times New Roman" w:cs="Times New Roman"/>
          <w:sz w:val="24"/>
          <w:szCs w:val="24"/>
        </w:rPr>
      </w:pPr>
      <w:r>
        <w:rPr>
          <w:rFonts w:ascii="Times New Roman" w:hAnsi="Times New Roman" w:cs="Times New Roman"/>
          <w:sz w:val="24"/>
          <w:szCs w:val="24"/>
        </w:rPr>
        <w:t>FIGURA 12</w:t>
      </w:r>
    </w:p>
    <w:p w:rsidR="000E330D" w:rsidRPr="000E330D" w:rsidRDefault="000E330D" w:rsidP="000020F5">
      <w:pPr>
        <w:jc w:val="center"/>
        <w:rPr>
          <w:rFonts w:ascii="Times New Roman" w:hAnsi="Times New Roman" w:cs="Times New Roman"/>
          <w:sz w:val="24"/>
          <w:szCs w:val="24"/>
        </w:rPr>
      </w:pPr>
      <w:commentRangeStart w:id="18"/>
      <w:r w:rsidRPr="000E330D">
        <w:rPr>
          <w:rFonts w:ascii="Times New Roman" w:hAnsi="Times New Roman" w:cs="Times New Roman"/>
          <w:sz w:val="24"/>
          <w:szCs w:val="24"/>
        </w:rPr>
        <w:t>Número medio de hijos por mujer en la Región de Murcia según nac</w:t>
      </w:r>
      <w:r>
        <w:rPr>
          <w:rFonts w:ascii="Times New Roman" w:hAnsi="Times New Roman" w:cs="Times New Roman"/>
          <w:sz w:val="24"/>
          <w:szCs w:val="24"/>
        </w:rPr>
        <w:t>ionalidad española o extranjera</w:t>
      </w:r>
      <w:r w:rsidR="005106A7">
        <w:rPr>
          <w:rFonts w:ascii="Times New Roman" w:hAnsi="Times New Roman" w:cs="Times New Roman"/>
          <w:sz w:val="24"/>
          <w:szCs w:val="24"/>
        </w:rPr>
        <w:t xml:space="preserve"> (2002-2013</w:t>
      </w:r>
      <w:r w:rsidR="00474A75">
        <w:rPr>
          <w:rFonts w:ascii="Times New Roman" w:hAnsi="Times New Roman" w:cs="Times New Roman"/>
          <w:sz w:val="24"/>
          <w:szCs w:val="24"/>
        </w:rPr>
        <w:t>)</w:t>
      </w:r>
      <w:commentRangeEnd w:id="18"/>
      <w:r w:rsidR="005106A7">
        <w:rPr>
          <w:rStyle w:val="Refdecomentario"/>
        </w:rPr>
        <w:commentReference w:id="18"/>
      </w:r>
    </w:p>
    <w:p w:rsidR="000E330D" w:rsidRPr="007B07C5" w:rsidRDefault="000E330D" w:rsidP="0059589C">
      <w:pPr>
        <w:spacing w:line="360" w:lineRule="auto"/>
        <w:jc w:val="center"/>
        <w:rPr>
          <w:rFonts w:ascii="Times New Roman" w:hAnsi="Times New Roman" w:cs="Times New Roman"/>
          <w:bCs/>
          <w:sz w:val="24"/>
          <w:szCs w:val="24"/>
        </w:rPr>
      </w:pPr>
      <w:r w:rsidRPr="007B07C5">
        <w:rPr>
          <w:rFonts w:ascii="Times New Roman" w:hAnsi="Times New Roman" w:cs="Times New Roman"/>
          <w:bCs/>
          <w:noProof/>
          <w:sz w:val="24"/>
          <w:szCs w:val="24"/>
          <w:lang w:eastAsia="es-ES"/>
        </w:rPr>
        <w:drawing>
          <wp:inline distT="0" distB="0" distL="0" distR="0">
            <wp:extent cx="4136390" cy="1981200"/>
            <wp:effectExtent l="19050" t="0" r="16510" b="0"/>
            <wp:docPr id="13" name="Gráfico 24"/>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inline>
        </w:drawing>
      </w:r>
    </w:p>
    <w:p w:rsidR="000E330D" w:rsidRDefault="000E330D" w:rsidP="004216AF">
      <w:pPr>
        <w:jc w:val="both"/>
        <w:rPr>
          <w:rFonts w:ascii="Times New Roman" w:hAnsi="Times New Roman" w:cs="Times New Roman"/>
          <w:noProof/>
          <w:sz w:val="24"/>
          <w:szCs w:val="24"/>
        </w:rPr>
      </w:pPr>
      <w:r w:rsidRPr="007B07C5">
        <w:rPr>
          <w:rFonts w:ascii="Times New Roman" w:hAnsi="Times New Roman" w:cs="Times New Roman"/>
          <w:noProof/>
          <w:sz w:val="24"/>
          <w:szCs w:val="24"/>
        </w:rPr>
        <w:t>Fuente: Elaboración propia a partir de los datos extraídos del INE.</w:t>
      </w:r>
    </w:p>
    <w:p w:rsidR="0059589C" w:rsidRPr="007B07C5" w:rsidRDefault="0059589C" w:rsidP="0059589C">
      <w:pPr>
        <w:spacing w:line="360" w:lineRule="auto"/>
        <w:jc w:val="both"/>
        <w:rPr>
          <w:rFonts w:ascii="Times New Roman" w:hAnsi="Times New Roman" w:cs="Times New Roman"/>
          <w:bCs/>
          <w:noProof/>
          <w:sz w:val="24"/>
          <w:szCs w:val="24"/>
        </w:rPr>
      </w:pPr>
    </w:p>
    <w:p w:rsidR="00EE2F9E" w:rsidRDefault="007B07C5" w:rsidP="00EE2F9E">
      <w:pPr>
        <w:spacing w:line="360" w:lineRule="auto"/>
        <w:ind w:firstLine="284"/>
        <w:jc w:val="both"/>
        <w:rPr>
          <w:rFonts w:ascii="Times New Roman" w:hAnsi="Times New Roman" w:cs="Times New Roman"/>
          <w:sz w:val="24"/>
          <w:szCs w:val="24"/>
        </w:rPr>
      </w:pPr>
      <w:r w:rsidRPr="007B07C5">
        <w:rPr>
          <w:rFonts w:ascii="Times New Roman" w:hAnsi="Times New Roman" w:cs="Times New Roman"/>
          <w:sz w:val="24"/>
          <w:szCs w:val="24"/>
        </w:rPr>
        <w:t>Puede decirse que la inmigración tiene un efecto rejuvenecedor transitorio, ya que los inmigrantes también envejecen</w:t>
      </w:r>
      <w:r w:rsidR="001478FF">
        <w:rPr>
          <w:rFonts w:ascii="Times New Roman" w:hAnsi="Times New Roman" w:cs="Times New Roman"/>
          <w:sz w:val="24"/>
          <w:szCs w:val="24"/>
        </w:rPr>
        <w:t xml:space="preserve"> </w:t>
      </w:r>
      <w:r w:rsidR="001478FF" w:rsidRPr="007B07C5">
        <w:rPr>
          <w:rFonts w:ascii="Times New Roman" w:hAnsi="Times New Roman" w:cs="Times New Roman"/>
          <w:bCs/>
          <w:sz w:val="24"/>
          <w:szCs w:val="24"/>
        </w:rPr>
        <w:t>(</w:t>
      </w:r>
      <w:r w:rsidR="00077DD7" w:rsidRPr="007B07C5">
        <w:rPr>
          <w:rFonts w:ascii="Times New Roman" w:hAnsi="Times New Roman" w:cs="Times New Roman"/>
          <w:bCs/>
          <w:sz w:val="24"/>
          <w:szCs w:val="24"/>
        </w:rPr>
        <w:t>MACARRÓN</w:t>
      </w:r>
      <w:r w:rsidR="001478FF" w:rsidRPr="007B07C5">
        <w:rPr>
          <w:rFonts w:ascii="Times New Roman" w:hAnsi="Times New Roman" w:cs="Times New Roman"/>
          <w:bCs/>
          <w:sz w:val="24"/>
          <w:szCs w:val="24"/>
        </w:rPr>
        <w:t>, 2012).</w:t>
      </w:r>
      <w:r w:rsidRPr="007B07C5">
        <w:rPr>
          <w:rFonts w:ascii="Times New Roman" w:hAnsi="Times New Roman" w:cs="Times New Roman"/>
          <w:sz w:val="24"/>
          <w:szCs w:val="24"/>
        </w:rPr>
        <w:t xml:space="preserve"> Por ello, no puede contrarrestar la tendencia al envejecimiento poblacional, sin embargo, </w:t>
      </w:r>
      <w:r w:rsidR="0059589C">
        <w:rPr>
          <w:rFonts w:ascii="Times New Roman" w:hAnsi="Times New Roman" w:cs="Times New Roman"/>
          <w:sz w:val="24"/>
          <w:szCs w:val="24"/>
        </w:rPr>
        <w:t>sí</w:t>
      </w:r>
      <w:r w:rsidRPr="007B07C5">
        <w:rPr>
          <w:rFonts w:ascii="Times New Roman" w:hAnsi="Times New Roman" w:cs="Times New Roman"/>
          <w:sz w:val="24"/>
          <w:szCs w:val="24"/>
        </w:rPr>
        <w:t xml:space="preserve"> puede retrasar levemente el proceso y mitigar temporalmente los desequilibrios entre población activa e inactiva. (</w:t>
      </w:r>
      <w:r w:rsidR="00077DD7" w:rsidRPr="007B07C5">
        <w:rPr>
          <w:rFonts w:ascii="Times New Roman" w:hAnsi="Times New Roman" w:cs="Times New Roman"/>
          <w:sz w:val="24"/>
          <w:szCs w:val="24"/>
        </w:rPr>
        <w:t>CASTRO MARTÍN</w:t>
      </w:r>
      <w:r w:rsidRPr="007B07C5">
        <w:rPr>
          <w:rFonts w:ascii="Times New Roman" w:hAnsi="Times New Roman" w:cs="Times New Roman"/>
          <w:sz w:val="24"/>
          <w:szCs w:val="24"/>
        </w:rPr>
        <w:t>, 2010).</w:t>
      </w:r>
    </w:p>
    <w:p w:rsidR="006F3A7A" w:rsidRDefault="006F3A7A" w:rsidP="00EE2F9E">
      <w:pPr>
        <w:spacing w:line="360" w:lineRule="auto"/>
        <w:ind w:firstLine="284"/>
        <w:jc w:val="both"/>
        <w:rPr>
          <w:rFonts w:ascii="Times New Roman" w:hAnsi="Times New Roman" w:cs="Times New Roman"/>
          <w:bCs/>
          <w:sz w:val="24"/>
          <w:szCs w:val="24"/>
        </w:rPr>
      </w:pPr>
      <w:r>
        <w:rPr>
          <w:rFonts w:ascii="Times New Roman" w:hAnsi="Times New Roman" w:cs="Times New Roman"/>
          <w:bCs/>
          <w:sz w:val="24"/>
          <w:szCs w:val="24"/>
        </w:rPr>
        <w:t xml:space="preserve">En la Figura </w:t>
      </w:r>
      <w:r w:rsidR="00793D41">
        <w:rPr>
          <w:rFonts w:ascii="Times New Roman" w:hAnsi="Times New Roman" w:cs="Times New Roman"/>
          <w:bCs/>
          <w:sz w:val="24"/>
          <w:szCs w:val="24"/>
        </w:rPr>
        <w:t>10</w:t>
      </w:r>
      <w:r>
        <w:rPr>
          <w:rFonts w:ascii="Times New Roman" w:hAnsi="Times New Roman" w:cs="Times New Roman"/>
          <w:bCs/>
          <w:sz w:val="24"/>
          <w:szCs w:val="24"/>
        </w:rPr>
        <w:t xml:space="preserve"> ha podido observarse</w:t>
      </w:r>
      <w:r w:rsidR="007B07C5" w:rsidRPr="007B07C5">
        <w:rPr>
          <w:rFonts w:ascii="Times New Roman" w:hAnsi="Times New Roman" w:cs="Times New Roman"/>
          <w:bCs/>
          <w:sz w:val="24"/>
          <w:szCs w:val="24"/>
        </w:rPr>
        <w:t xml:space="preserve"> el fuerte descenso de la población inmigrante, así como un incremento de los emigrantes, lo que </w:t>
      </w:r>
      <w:r w:rsidR="00EE2F9E">
        <w:rPr>
          <w:rFonts w:ascii="Times New Roman" w:hAnsi="Times New Roman" w:cs="Times New Roman"/>
          <w:bCs/>
          <w:sz w:val="24"/>
          <w:szCs w:val="24"/>
        </w:rPr>
        <w:t>origina</w:t>
      </w:r>
      <w:r w:rsidR="007B07C5" w:rsidRPr="007B07C5">
        <w:rPr>
          <w:rFonts w:ascii="Times New Roman" w:hAnsi="Times New Roman" w:cs="Times New Roman"/>
          <w:bCs/>
          <w:sz w:val="24"/>
          <w:szCs w:val="24"/>
        </w:rPr>
        <w:t xml:space="preserve"> un saldo migratorio negativo, algo que no sucedía hace décadas. La crisis económica desarrollada a partir de 2008 abre un nuevo escenario y en la actualidad nada favorece la llegada de nuevos inmigrantes extranjeros (</w:t>
      </w:r>
      <w:r w:rsidR="00077DD7" w:rsidRPr="007B07C5">
        <w:rPr>
          <w:rFonts w:ascii="Times New Roman" w:hAnsi="Times New Roman" w:cs="Times New Roman"/>
          <w:bCs/>
          <w:sz w:val="24"/>
          <w:szCs w:val="24"/>
        </w:rPr>
        <w:t>SERRANO MARTÍNEZ</w:t>
      </w:r>
      <w:r w:rsidR="007B07C5" w:rsidRPr="007B07C5">
        <w:rPr>
          <w:rFonts w:ascii="Times New Roman" w:hAnsi="Times New Roman" w:cs="Times New Roman"/>
          <w:bCs/>
          <w:sz w:val="24"/>
          <w:szCs w:val="24"/>
        </w:rPr>
        <w:t xml:space="preserve">, 2010); incluso están emigrando los ya asentados. Esto se debe a varios motivos. Uno es que buena parte de los inmigrantes </w:t>
      </w:r>
      <w:r w:rsidR="007B07C5" w:rsidRPr="007B07C5">
        <w:rPr>
          <w:rFonts w:ascii="Times New Roman" w:hAnsi="Times New Roman" w:cs="Times New Roman"/>
          <w:bCs/>
          <w:sz w:val="24"/>
          <w:szCs w:val="24"/>
        </w:rPr>
        <w:lastRenderedPageBreak/>
        <w:t xml:space="preserve">sufre con más intensidad las consecuencias del desempleo, </w:t>
      </w:r>
      <w:r w:rsidR="00EE2F9E">
        <w:rPr>
          <w:rFonts w:ascii="Times New Roman" w:hAnsi="Times New Roman" w:cs="Times New Roman"/>
          <w:bCs/>
          <w:sz w:val="24"/>
          <w:szCs w:val="24"/>
        </w:rPr>
        <w:t>puesto</w:t>
      </w:r>
      <w:r w:rsidR="007B07C5" w:rsidRPr="007B07C5">
        <w:rPr>
          <w:rFonts w:ascii="Times New Roman" w:hAnsi="Times New Roman" w:cs="Times New Roman"/>
          <w:bCs/>
          <w:sz w:val="24"/>
          <w:szCs w:val="24"/>
        </w:rPr>
        <w:t xml:space="preserve"> que los trabajos que ha venido desempeñando la población inmigrante se han caracterizado por la temporalidad e inestabilidad. Otro motivo e</w:t>
      </w:r>
      <w:r w:rsidR="007B07C5" w:rsidRPr="007B07C5">
        <w:rPr>
          <w:rFonts w:ascii="Times New Roman" w:hAnsi="Times New Roman" w:cs="Times New Roman"/>
          <w:sz w:val="24"/>
          <w:szCs w:val="24"/>
        </w:rPr>
        <w:t>s que sólo una pequeña parte de los inmigrantes en situación de paro ha cotizado el tiempo suficiente para tener derecho a cobrar el subsidio de desempleo.</w:t>
      </w:r>
      <w:r w:rsidRPr="007B07C5">
        <w:rPr>
          <w:rFonts w:ascii="Times New Roman" w:hAnsi="Times New Roman" w:cs="Times New Roman"/>
          <w:bCs/>
          <w:sz w:val="24"/>
          <w:szCs w:val="24"/>
        </w:rPr>
        <w:t xml:space="preserve"> Pero no sólo la población inmigrante asentada en España está emigrando, sino también la población española</w:t>
      </w:r>
      <w:r w:rsidR="00EE2F9E">
        <w:rPr>
          <w:rFonts w:ascii="Times New Roman" w:hAnsi="Times New Roman" w:cs="Times New Roman"/>
          <w:bCs/>
          <w:sz w:val="24"/>
          <w:szCs w:val="24"/>
        </w:rPr>
        <w:t>,</w:t>
      </w:r>
      <w:r w:rsidRPr="007B07C5">
        <w:rPr>
          <w:rFonts w:ascii="Times New Roman" w:hAnsi="Times New Roman" w:cs="Times New Roman"/>
          <w:bCs/>
          <w:sz w:val="24"/>
          <w:szCs w:val="24"/>
        </w:rPr>
        <w:t xml:space="preserve"> </w:t>
      </w:r>
      <w:r w:rsidR="00EE2F9E">
        <w:rPr>
          <w:rFonts w:ascii="Times New Roman" w:hAnsi="Times New Roman" w:cs="Times New Roman"/>
          <w:bCs/>
          <w:sz w:val="24"/>
          <w:szCs w:val="24"/>
        </w:rPr>
        <w:t>por lo que</w:t>
      </w:r>
      <w:r w:rsidRPr="007B07C5">
        <w:rPr>
          <w:rFonts w:ascii="Times New Roman" w:hAnsi="Times New Roman" w:cs="Times New Roman"/>
          <w:bCs/>
          <w:sz w:val="24"/>
          <w:szCs w:val="24"/>
        </w:rPr>
        <w:t xml:space="preserve"> los saldos migratorios extranjeros y españoles se vuelven negativos. Mientras que no se consiga un crecimiento económico saneado, vigoroso y duradero, dichos balances migratorios no podrán ser favorables (</w:t>
      </w:r>
      <w:r w:rsidR="00077DD7" w:rsidRPr="007B07C5">
        <w:rPr>
          <w:rFonts w:ascii="Times New Roman" w:hAnsi="Times New Roman" w:cs="Times New Roman"/>
          <w:bCs/>
          <w:sz w:val="24"/>
          <w:szCs w:val="24"/>
        </w:rPr>
        <w:t xml:space="preserve">SERRANO MARTÍNEZ </w:t>
      </w:r>
      <w:r w:rsidR="005E49A7">
        <w:rPr>
          <w:rFonts w:ascii="Times New Roman" w:hAnsi="Times New Roman" w:cs="Times New Roman"/>
          <w:bCs/>
          <w:sz w:val="24"/>
          <w:szCs w:val="24"/>
        </w:rPr>
        <w:t>y</w:t>
      </w:r>
      <w:r w:rsidR="00077DD7" w:rsidRPr="007B07C5">
        <w:rPr>
          <w:rFonts w:ascii="Times New Roman" w:hAnsi="Times New Roman" w:cs="Times New Roman"/>
          <w:bCs/>
          <w:sz w:val="24"/>
          <w:szCs w:val="24"/>
        </w:rPr>
        <w:t xml:space="preserve"> GARCÍA MARÍN</w:t>
      </w:r>
      <w:r w:rsidRPr="007B07C5">
        <w:rPr>
          <w:rFonts w:ascii="Times New Roman" w:hAnsi="Times New Roman" w:cs="Times New Roman"/>
          <w:bCs/>
          <w:sz w:val="24"/>
          <w:szCs w:val="24"/>
        </w:rPr>
        <w:t>, 2013).</w:t>
      </w:r>
    </w:p>
    <w:p w:rsidR="00DF15D7" w:rsidRDefault="00DF15D7" w:rsidP="00EE2F9E">
      <w:pPr>
        <w:spacing w:line="360" w:lineRule="auto"/>
        <w:ind w:firstLine="284"/>
        <w:jc w:val="both"/>
        <w:rPr>
          <w:rFonts w:ascii="Times New Roman" w:hAnsi="Times New Roman" w:cs="Times New Roman"/>
          <w:bCs/>
          <w:sz w:val="24"/>
          <w:szCs w:val="24"/>
        </w:rPr>
      </w:pPr>
    </w:p>
    <w:p w:rsidR="006D4667" w:rsidRPr="006D4667" w:rsidRDefault="008F4B60" w:rsidP="006D4667">
      <w:pPr>
        <w:pStyle w:val="Ttulo1"/>
        <w:spacing w:before="0" w:line="240" w:lineRule="auto"/>
        <w:jc w:val="both"/>
        <w:rPr>
          <w:rFonts w:ascii="Times New Roman" w:hAnsi="Times New Roman" w:cs="Times New Roman"/>
          <w:color w:val="auto"/>
          <w:sz w:val="24"/>
          <w:szCs w:val="24"/>
        </w:rPr>
      </w:pPr>
      <w:r>
        <w:rPr>
          <w:rFonts w:ascii="Times New Roman" w:hAnsi="Times New Roman" w:cs="Times New Roman"/>
          <w:color w:val="auto"/>
          <w:sz w:val="24"/>
          <w:szCs w:val="24"/>
        </w:rPr>
        <w:t xml:space="preserve">4. </w:t>
      </w:r>
      <w:r w:rsidRPr="006D4667">
        <w:rPr>
          <w:rFonts w:ascii="Times New Roman" w:hAnsi="Times New Roman" w:cs="Times New Roman"/>
          <w:color w:val="auto"/>
          <w:sz w:val="24"/>
          <w:szCs w:val="24"/>
        </w:rPr>
        <w:t>TENDENCIAS ESPACIALES DEL ENVEJECIMIENTO DEMOGRÁFICO</w:t>
      </w:r>
      <w:r>
        <w:rPr>
          <w:rFonts w:ascii="Times New Roman" w:hAnsi="Times New Roman" w:cs="Times New Roman"/>
          <w:color w:val="auto"/>
          <w:sz w:val="24"/>
          <w:szCs w:val="24"/>
        </w:rPr>
        <w:t xml:space="preserve"> </w:t>
      </w:r>
      <w:r w:rsidRPr="006D4667">
        <w:rPr>
          <w:rFonts w:ascii="Times New Roman" w:hAnsi="Times New Roman" w:cs="Times New Roman"/>
          <w:color w:val="auto"/>
          <w:sz w:val="24"/>
          <w:szCs w:val="24"/>
        </w:rPr>
        <w:t>EN LA REGIÓN DE MURCIA</w:t>
      </w:r>
      <w:r>
        <w:rPr>
          <w:rFonts w:ascii="Times New Roman" w:hAnsi="Times New Roman" w:cs="Times New Roman"/>
          <w:color w:val="auto"/>
          <w:sz w:val="24"/>
          <w:szCs w:val="24"/>
        </w:rPr>
        <w:t>: ANÁLISIS LOCAL</w:t>
      </w:r>
    </w:p>
    <w:p w:rsidR="006D4667" w:rsidRPr="006D4667" w:rsidRDefault="006D4667" w:rsidP="006D4667">
      <w:pPr>
        <w:jc w:val="both"/>
        <w:rPr>
          <w:rFonts w:ascii="Times New Roman" w:hAnsi="Times New Roman" w:cs="Times New Roman"/>
          <w:sz w:val="24"/>
          <w:szCs w:val="24"/>
        </w:rPr>
      </w:pPr>
    </w:p>
    <w:p w:rsidR="006D4667" w:rsidRPr="006D4667" w:rsidRDefault="00AE2B2F" w:rsidP="00210056">
      <w:pPr>
        <w:spacing w:line="360" w:lineRule="auto"/>
        <w:ind w:firstLine="284"/>
        <w:jc w:val="both"/>
        <w:rPr>
          <w:rFonts w:ascii="Times New Roman" w:hAnsi="Times New Roman" w:cs="Times New Roman"/>
          <w:sz w:val="24"/>
          <w:szCs w:val="24"/>
        </w:rPr>
      </w:pPr>
      <w:r>
        <w:rPr>
          <w:rFonts w:ascii="Times New Roman" w:hAnsi="Times New Roman" w:cs="Times New Roman"/>
          <w:sz w:val="24"/>
          <w:szCs w:val="24"/>
        </w:rPr>
        <w:t>Puede afirmarse</w:t>
      </w:r>
      <w:r w:rsidR="006D4667" w:rsidRPr="006D4667">
        <w:rPr>
          <w:rFonts w:ascii="Times New Roman" w:hAnsi="Times New Roman" w:cs="Times New Roman"/>
          <w:sz w:val="24"/>
          <w:szCs w:val="24"/>
        </w:rPr>
        <w:t xml:space="preserve"> que existe una clara dicotomía entre el comportamiento que presentan los municipios de sierra con respecto a los litorales. Mientras que los primeros envejecen a un ritmo considerable y presentan en la actualidad un grado de envejecimiento alto con menor natalidad, en los municipios litorales el ritmo de envejecimiento es mucho menor y presentan mejores perspectivas demográficas. Esta situación responde a una serie de causas </w:t>
      </w:r>
      <w:r>
        <w:rPr>
          <w:rFonts w:ascii="Times New Roman" w:hAnsi="Times New Roman" w:cs="Times New Roman"/>
          <w:sz w:val="24"/>
          <w:szCs w:val="24"/>
        </w:rPr>
        <w:t xml:space="preserve">tanto </w:t>
      </w:r>
      <w:r w:rsidR="006D4667" w:rsidRPr="006D4667">
        <w:rPr>
          <w:rFonts w:ascii="Times New Roman" w:hAnsi="Times New Roman" w:cs="Times New Roman"/>
          <w:sz w:val="24"/>
          <w:szCs w:val="24"/>
        </w:rPr>
        <w:t xml:space="preserve">demográficas </w:t>
      </w:r>
      <w:r>
        <w:rPr>
          <w:rFonts w:ascii="Times New Roman" w:hAnsi="Times New Roman" w:cs="Times New Roman"/>
          <w:sz w:val="24"/>
          <w:szCs w:val="24"/>
        </w:rPr>
        <w:t xml:space="preserve">como </w:t>
      </w:r>
      <w:r w:rsidR="006D4667" w:rsidRPr="006D4667">
        <w:rPr>
          <w:rFonts w:ascii="Times New Roman" w:hAnsi="Times New Roman" w:cs="Times New Roman"/>
          <w:sz w:val="24"/>
          <w:szCs w:val="24"/>
        </w:rPr>
        <w:t xml:space="preserve">socioeconómicas. </w:t>
      </w:r>
    </w:p>
    <w:p w:rsidR="006D4667" w:rsidRPr="006D4667" w:rsidRDefault="006D4667" w:rsidP="00D05621">
      <w:pPr>
        <w:spacing w:line="360" w:lineRule="auto"/>
        <w:ind w:firstLine="284"/>
        <w:jc w:val="both"/>
        <w:rPr>
          <w:rFonts w:ascii="Times New Roman" w:hAnsi="Times New Roman" w:cs="Times New Roman"/>
          <w:sz w:val="24"/>
          <w:szCs w:val="24"/>
        </w:rPr>
      </w:pPr>
      <w:r w:rsidRPr="006D4667">
        <w:rPr>
          <w:rFonts w:ascii="Times New Roman" w:hAnsi="Times New Roman" w:cs="Times New Roman"/>
          <w:sz w:val="24"/>
          <w:szCs w:val="24"/>
        </w:rPr>
        <w:t>En cuanto a las demográficas, se ha comprobado c</w:t>
      </w:r>
      <w:r w:rsidR="00E93F4C">
        <w:rPr>
          <w:rFonts w:ascii="Times New Roman" w:hAnsi="Times New Roman" w:cs="Times New Roman"/>
          <w:sz w:val="24"/>
          <w:szCs w:val="24"/>
        </w:rPr>
        <w:t>ó</w:t>
      </w:r>
      <w:r w:rsidRPr="006D4667">
        <w:rPr>
          <w:rFonts w:ascii="Times New Roman" w:hAnsi="Times New Roman" w:cs="Times New Roman"/>
          <w:sz w:val="24"/>
          <w:szCs w:val="24"/>
        </w:rPr>
        <w:t xml:space="preserve">mo las pautas de comportamiento seguidas por el ámbito litoral son distintas de las del ámbito serrano o de interior. El descenso de la natalidad y la fecundidad, la </w:t>
      </w:r>
      <w:r w:rsidR="00120E29">
        <w:rPr>
          <w:rFonts w:ascii="Times New Roman" w:hAnsi="Times New Roman" w:cs="Times New Roman"/>
          <w:sz w:val="24"/>
          <w:szCs w:val="24"/>
        </w:rPr>
        <w:t>emigración</w:t>
      </w:r>
      <w:r w:rsidRPr="006D4667">
        <w:rPr>
          <w:rFonts w:ascii="Times New Roman" w:hAnsi="Times New Roman" w:cs="Times New Roman"/>
          <w:sz w:val="24"/>
          <w:szCs w:val="24"/>
        </w:rPr>
        <w:t xml:space="preserve"> de efectivos jóvenes</w:t>
      </w:r>
      <w:r w:rsidR="00120E29">
        <w:rPr>
          <w:rFonts w:ascii="Times New Roman" w:hAnsi="Times New Roman" w:cs="Times New Roman"/>
          <w:sz w:val="24"/>
          <w:szCs w:val="24"/>
        </w:rPr>
        <w:t xml:space="preserve"> </w:t>
      </w:r>
      <w:r w:rsidR="00004AA1">
        <w:rPr>
          <w:rFonts w:ascii="Times New Roman" w:hAnsi="Times New Roman" w:cs="Times New Roman"/>
          <w:sz w:val="24"/>
          <w:szCs w:val="24"/>
        </w:rPr>
        <w:t>y</w:t>
      </w:r>
      <w:r w:rsidRPr="006D4667">
        <w:rPr>
          <w:rFonts w:ascii="Times New Roman" w:hAnsi="Times New Roman" w:cs="Times New Roman"/>
          <w:sz w:val="24"/>
          <w:szCs w:val="24"/>
        </w:rPr>
        <w:t xml:space="preserve"> la escasa inmigración son los principales factores que explican ese acusado envejecimiento en los municipios interiores. Entre las causas socioeconómicas</w:t>
      </w:r>
      <w:r w:rsidR="00EE2F9E">
        <w:rPr>
          <w:rFonts w:ascii="Times New Roman" w:hAnsi="Times New Roman" w:cs="Times New Roman"/>
          <w:sz w:val="24"/>
          <w:szCs w:val="24"/>
        </w:rPr>
        <w:t>,</w:t>
      </w:r>
      <w:r w:rsidRPr="006D4667">
        <w:rPr>
          <w:rFonts w:ascii="Times New Roman" w:hAnsi="Times New Roman" w:cs="Times New Roman"/>
          <w:sz w:val="24"/>
          <w:szCs w:val="24"/>
        </w:rPr>
        <w:t xml:space="preserve"> destaca de forma preferente el desarrollo económico y territorial que presenta cada ámbito. La falta de oportunidades de empleo que los ámbitos serranos</w:t>
      </w:r>
      <w:r w:rsidR="00004AA1">
        <w:rPr>
          <w:rFonts w:ascii="Times New Roman" w:hAnsi="Times New Roman" w:cs="Times New Roman"/>
          <w:sz w:val="24"/>
          <w:szCs w:val="24"/>
        </w:rPr>
        <w:t xml:space="preserve"> de interior</w:t>
      </w:r>
      <w:r w:rsidRPr="006D4667">
        <w:rPr>
          <w:rFonts w:ascii="Times New Roman" w:hAnsi="Times New Roman" w:cs="Times New Roman"/>
          <w:sz w:val="24"/>
          <w:szCs w:val="24"/>
        </w:rPr>
        <w:t xml:space="preserve"> ofertan a la población joven autóctona, así como los bajos </w:t>
      </w:r>
      <w:r w:rsidR="00004AA1">
        <w:rPr>
          <w:rFonts w:ascii="Times New Roman" w:hAnsi="Times New Roman" w:cs="Times New Roman"/>
          <w:sz w:val="24"/>
          <w:szCs w:val="24"/>
        </w:rPr>
        <w:t>niveles de renta y/o</w:t>
      </w:r>
      <w:r w:rsidRPr="006D4667">
        <w:rPr>
          <w:rFonts w:ascii="Times New Roman" w:hAnsi="Times New Roman" w:cs="Times New Roman"/>
          <w:sz w:val="24"/>
          <w:szCs w:val="24"/>
        </w:rPr>
        <w:t xml:space="preserve"> </w:t>
      </w:r>
      <w:r w:rsidR="00004AA1">
        <w:rPr>
          <w:rFonts w:ascii="Times New Roman" w:hAnsi="Times New Roman" w:cs="Times New Roman"/>
          <w:sz w:val="24"/>
          <w:szCs w:val="24"/>
        </w:rPr>
        <w:t xml:space="preserve">la primacía del sector agrario </w:t>
      </w:r>
      <w:r w:rsidRPr="006D4667">
        <w:rPr>
          <w:rFonts w:ascii="Times New Roman" w:hAnsi="Times New Roman" w:cs="Times New Roman"/>
          <w:sz w:val="24"/>
          <w:szCs w:val="24"/>
        </w:rPr>
        <w:t xml:space="preserve">son algunos de los factores que explican las disparidades económicas </w:t>
      </w:r>
      <w:r w:rsidR="008E0640">
        <w:rPr>
          <w:rFonts w:ascii="Times New Roman" w:hAnsi="Times New Roman" w:cs="Times New Roman"/>
          <w:sz w:val="24"/>
          <w:szCs w:val="24"/>
        </w:rPr>
        <w:t xml:space="preserve">y sociodemográficas </w:t>
      </w:r>
      <w:r w:rsidRPr="006D4667">
        <w:rPr>
          <w:rFonts w:ascii="Times New Roman" w:hAnsi="Times New Roman" w:cs="Times New Roman"/>
          <w:sz w:val="24"/>
          <w:szCs w:val="24"/>
        </w:rPr>
        <w:t xml:space="preserve">existentes. </w:t>
      </w:r>
    </w:p>
    <w:p w:rsidR="006D4667" w:rsidRDefault="006D4667" w:rsidP="00210056">
      <w:pPr>
        <w:spacing w:line="360" w:lineRule="auto"/>
        <w:ind w:firstLine="284"/>
        <w:jc w:val="both"/>
        <w:rPr>
          <w:rFonts w:ascii="Times New Roman" w:hAnsi="Times New Roman" w:cs="Times New Roman"/>
          <w:sz w:val="24"/>
          <w:szCs w:val="24"/>
        </w:rPr>
      </w:pPr>
      <w:r w:rsidRPr="006D4667">
        <w:rPr>
          <w:rFonts w:ascii="Times New Roman" w:hAnsi="Times New Roman" w:cs="Times New Roman"/>
          <w:sz w:val="24"/>
          <w:szCs w:val="24"/>
        </w:rPr>
        <w:t xml:space="preserve">En el espacio regional, Gómez Fayrén </w:t>
      </w:r>
      <w:r w:rsidRPr="006D4667">
        <w:rPr>
          <w:rFonts w:ascii="Times New Roman" w:hAnsi="Times New Roman" w:cs="Times New Roman"/>
          <w:i/>
          <w:sz w:val="24"/>
          <w:szCs w:val="24"/>
        </w:rPr>
        <w:t>et al.</w:t>
      </w:r>
      <w:r w:rsidRPr="006D4667">
        <w:rPr>
          <w:rFonts w:ascii="Times New Roman" w:hAnsi="Times New Roman" w:cs="Times New Roman"/>
          <w:sz w:val="24"/>
          <w:szCs w:val="24"/>
        </w:rPr>
        <w:t xml:space="preserve"> (1994) ya observaron una intensificación del envejecimiento hacia el interior y hacia el Noroeste, así como menos envejecimiento en los municipios con predominio de población urbana en relación a los rurales.</w:t>
      </w:r>
      <w:r w:rsidR="00F72133">
        <w:rPr>
          <w:rFonts w:ascii="Times New Roman" w:hAnsi="Times New Roman" w:cs="Times New Roman"/>
          <w:sz w:val="24"/>
          <w:szCs w:val="24"/>
        </w:rPr>
        <w:t xml:space="preserve"> </w:t>
      </w:r>
      <w:r w:rsidRPr="006D4667">
        <w:rPr>
          <w:rFonts w:ascii="Times New Roman" w:hAnsi="Times New Roman" w:cs="Times New Roman"/>
          <w:sz w:val="24"/>
          <w:szCs w:val="24"/>
        </w:rPr>
        <w:t>El mapa del envejecimiento demográfico de la Región de Murcia para el año 2013 (Figura 1</w:t>
      </w:r>
      <w:r w:rsidR="00793D41">
        <w:rPr>
          <w:rFonts w:ascii="Times New Roman" w:hAnsi="Times New Roman" w:cs="Times New Roman"/>
          <w:sz w:val="24"/>
          <w:szCs w:val="24"/>
        </w:rPr>
        <w:t>3</w:t>
      </w:r>
      <w:r w:rsidRPr="006D4667">
        <w:rPr>
          <w:rFonts w:ascii="Times New Roman" w:hAnsi="Times New Roman" w:cs="Times New Roman"/>
          <w:sz w:val="24"/>
          <w:szCs w:val="24"/>
        </w:rPr>
        <w:t>) muestra que hay 24 municipios por enc</w:t>
      </w:r>
      <w:r w:rsidR="00F72133">
        <w:rPr>
          <w:rFonts w:ascii="Times New Roman" w:hAnsi="Times New Roman" w:cs="Times New Roman"/>
          <w:sz w:val="24"/>
          <w:szCs w:val="24"/>
        </w:rPr>
        <w:t>ima de la media regional (14,53</w:t>
      </w:r>
      <w:r w:rsidRPr="006D4667">
        <w:rPr>
          <w:rFonts w:ascii="Times New Roman" w:hAnsi="Times New Roman" w:cs="Times New Roman"/>
          <w:sz w:val="24"/>
          <w:szCs w:val="24"/>
        </w:rPr>
        <w:t xml:space="preserve">%). Esto indica que más de la mitad de los municipios de la Región de Murcia presentan tasas elevadas de envejecimiento. </w:t>
      </w:r>
    </w:p>
    <w:p w:rsidR="00EE2F9E" w:rsidRDefault="00EE2F9E" w:rsidP="00EE2F9E">
      <w:pPr>
        <w:jc w:val="center"/>
        <w:rPr>
          <w:rFonts w:ascii="Times New Roman" w:hAnsi="Times New Roman" w:cs="Times New Roman"/>
          <w:sz w:val="24"/>
          <w:szCs w:val="24"/>
        </w:rPr>
      </w:pPr>
      <w:r>
        <w:rPr>
          <w:rFonts w:ascii="Times New Roman" w:hAnsi="Times New Roman" w:cs="Times New Roman"/>
          <w:sz w:val="24"/>
          <w:szCs w:val="24"/>
        </w:rPr>
        <w:lastRenderedPageBreak/>
        <w:t>FIGURA 13</w:t>
      </w:r>
    </w:p>
    <w:p w:rsidR="00EE2F9E" w:rsidRPr="00F72133" w:rsidRDefault="00EE2F9E" w:rsidP="00EE2F9E">
      <w:pPr>
        <w:jc w:val="center"/>
        <w:rPr>
          <w:rFonts w:ascii="Times New Roman" w:hAnsi="Times New Roman" w:cs="Times New Roman"/>
          <w:sz w:val="24"/>
          <w:szCs w:val="24"/>
        </w:rPr>
      </w:pPr>
      <w:r w:rsidRPr="00F72133">
        <w:rPr>
          <w:rFonts w:ascii="Times New Roman" w:hAnsi="Times New Roman" w:cs="Times New Roman"/>
          <w:sz w:val="24"/>
          <w:szCs w:val="24"/>
        </w:rPr>
        <w:t>Mapa de envejecimiento demográfico</w:t>
      </w:r>
      <w:r>
        <w:rPr>
          <w:rFonts w:ascii="Times New Roman" w:hAnsi="Times New Roman" w:cs="Times New Roman"/>
          <w:sz w:val="24"/>
          <w:szCs w:val="24"/>
        </w:rPr>
        <w:t xml:space="preserve"> municipal, Región de Murcia (2013)</w:t>
      </w:r>
    </w:p>
    <w:p w:rsidR="00EE2F9E" w:rsidRDefault="00EE2F9E" w:rsidP="00EE2F9E">
      <w:pPr>
        <w:jc w:val="center"/>
        <w:rPr>
          <w:rFonts w:ascii="Times New Roman" w:hAnsi="Times New Roman" w:cs="Times New Roman"/>
          <w:sz w:val="24"/>
          <w:szCs w:val="24"/>
        </w:rPr>
      </w:pPr>
      <w:r>
        <w:rPr>
          <w:rFonts w:ascii="Times New Roman" w:hAnsi="Times New Roman" w:cs="Times New Roman"/>
          <w:noProof/>
          <w:sz w:val="24"/>
          <w:szCs w:val="24"/>
          <w:lang w:eastAsia="es-ES"/>
        </w:rPr>
        <w:drawing>
          <wp:inline distT="0" distB="0" distL="0" distR="0">
            <wp:extent cx="4816799" cy="3276600"/>
            <wp:effectExtent l="19050" t="0" r="2851" b="0"/>
            <wp:docPr id="24" name="Imagen 3" descr="C:\Users\Carlos\Desktop\K@®LØ$\Artículo\Map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Carlos\Desktop\K@®LØ$\Artículo\Mapa.png"/>
                    <pic:cNvPicPr>
                      <a:picLocks noChangeAspect="1" noChangeArrowheads="1"/>
                    </pic:cNvPicPr>
                  </pic:nvPicPr>
                  <pic:blipFill>
                    <a:blip r:embed="rId20" cstate="print"/>
                    <a:srcRect/>
                    <a:stretch>
                      <a:fillRect/>
                    </a:stretch>
                  </pic:blipFill>
                  <pic:spPr bwMode="auto">
                    <a:xfrm>
                      <a:off x="0" y="0"/>
                      <a:ext cx="4816799" cy="3276600"/>
                    </a:xfrm>
                    <a:prstGeom prst="rect">
                      <a:avLst/>
                    </a:prstGeom>
                    <a:noFill/>
                    <a:ln w="9525">
                      <a:noFill/>
                      <a:miter lim="800000"/>
                      <a:headEnd/>
                      <a:tailEnd/>
                    </a:ln>
                    <a:effectLst>
                      <a:softEdge rad="63500"/>
                    </a:effectLst>
                  </pic:spPr>
                </pic:pic>
              </a:graphicData>
            </a:graphic>
          </wp:inline>
        </w:drawing>
      </w:r>
    </w:p>
    <w:p w:rsidR="00EE2F9E" w:rsidRDefault="00EE2F9E" w:rsidP="00DD4FEA">
      <w:pPr>
        <w:ind w:firstLine="284"/>
        <w:jc w:val="both"/>
        <w:rPr>
          <w:rFonts w:ascii="Times New Roman" w:hAnsi="Times New Roman" w:cs="Times New Roman"/>
          <w:sz w:val="24"/>
          <w:szCs w:val="24"/>
        </w:rPr>
      </w:pPr>
      <w:r w:rsidRPr="006D4667">
        <w:rPr>
          <w:rFonts w:ascii="Times New Roman" w:hAnsi="Times New Roman" w:cs="Times New Roman"/>
          <w:sz w:val="24"/>
          <w:szCs w:val="24"/>
        </w:rPr>
        <w:t>Fuente: Elaboración propia a partir de los datos extraídos del CREM</w:t>
      </w:r>
      <w:r>
        <w:rPr>
          <w:rFonts w:ascii="Times New Roman" w:hAnsi="Times New Roman" w:cs="Times New Roman"/>
          <w:sz w:val="24"/>
          <w:szCs w:val="24"/>
        </w:rPr>
        <w:t>.</w:t>
      </w:r>
    </w:p>
    <w:p w:rsidR="00EE2F9E" w:rsidRDefault="00EE2F9E" w:rsidP="00210056">
      <w:pPr>
        <w:spacing w:line="360" w:lineRule="auto"/>
        <w:ind w:firstLine="284"/>
        <w:jc w:val="both"/>
        <w:rPr>
          <w:rFonts w:ascii="Times New Roman" w:hAnsi="Times New Roman" w:cs="Times New Roman"/>
          <w:sz w:val="24"/>
          <w:szCs w:val="24"/>
        </w:rPr>
      </w:pPr>
    </w:p>
    <w:p w:rsidR="00210056" w:rsidRPr="006D4667" w:rsidRDefault="00210056" w:rsidP="00210056">
      <w:pPr>
        <w:spacing w:line="360" w:lineRule="auto"/>
        <w:ind w:firstLine="284"/>
        <w:jc w:val="both"/>
        <w:rPr>
          <w:rFonts w:ascii="Times New Roman" w:hAnsi="Times New Roman" w:cs="Times New Roman"/>
          <w:sz w:val="24"/>
          <w:szCs w:val="24"/>
        </w:rPr>
      </w:pPr>
      <w:r w:rsidRPr="006D4667">
        <w:rPr>
          <w:rFonts w:ascii="Times New Roman" w:hAnsi="Times New Roman" w:cs="Times New Roman"/>
          <w:sz w:val="24"/>
          <w:szCs w:val="24"/>
        </w:rPr>
        <w:t xml:space="preserve">Los municipios más envejecidos son los siguientes en orden ascendente: Ojós, Moratalla, Abanilla, Aledo, Ulea y Ricote. Estos </w:t>
      </w:r>
      <w:r>
        <w:rPr>
          <w:rFonts w:ascii="Times New Roman" w:hAnsi="Times New Roman" w:cs="Times New Roman"/>
          <w:sz w:val="24"/>
          <w:szCs w:val="24"/>
        </w:rPr>
        <w:t>territorios</w:t>
      </w:r>
      <w:r w:rsidRPr="006D4667">
        <w:rPr>
          <w:rFonts w:ascii="Times New Roman" w:hAnsi="Times New Roman" w:cs="Times New Roman"/>
          <w:sz w:val="24"/>
          <w:szCs w:val="24"/>
        </w:rPr>
        <w:t xml:space="preserve"> son zonas de despoblamiento rural con muy poca actividad económica y con dificultades de comunicación con los principales ejes vertebradores regionales, lo que ocasiona que no atraigan a población joven y que la existente emigre a otros municipios </w:t>
      </w:r>
      <w:r>
        <w:rPr>
          <w:rFonts w:ascii="Times New Roman" w:hAnsi="Times New Roman" w:cs="Times New Roman"/>
          <w:sz w:val="24"/>
          <w:szCs w:val="24"/>
        </w:rPr>
        <w:t>(</w:t>
      </w:r>
      <w:r w:rsidRPr="006D4667">
        <w:rPr>
          <w:rFonts w:ascii="Times New Roman" w:hAnsi="Times New Roman" w:cs="Times New Roman"/>
          <w:sz w:val="24"/>
          <w:szCs w:val="24"/>
        </w:rPr>
        <w:t>o fuera de la Región de Murcia</w:t>
      </w:r>
      <w:r>
        <w:rPr>
          <w:rFonts w:ascii="Times New Roman" w:hAnsi="Times New Roman" w:cs="Times New Roman"/>
          <w:sz w:val="24"/>
          <w:szCs w:val="24"/>
        </w:rPr>
        <w:t>)</w:t>
      </w:r>
      <w:r w:rsidRPr="006D4667">
        <w:rPr>
          <w:rFonts w:ascii="Times New Roman" w:hAnsi="Times New Roman" w:cs="Times New Roman"/>
          <w:sz w:val="24"/>
          <w:szCs w:val="24"/>
        </w:rPr>
        <w:t xml:space="preserve"> en busca de nuevas expectativas para mejorar su nivel de vida. Este hecho origina un descenso de la natalidad y un aumento considerable de la mortalidad al encontrarse sólo población envejecida en dichos municipios.</w:t>
      </w:r>
    </w:p>
    <w:p w:rsidR="00210056" w:rsidRDefault="00210056" w:rsidP="00210056">
      <w:pPr>
        <w:spacing w:line="360" w:lineRule="auto"/>
        <w:ind w:firstLine="284"/>
        <w:jc w:val="both"/>
        <w:rPr>
          <w:rFonts w:ascii="Times New Roman" w:hAnsi="Times New Roman" w:cs="Times New Roman"/>
          <w:sz w:val="24"/>
          <w:szCs w:val="24"/>
        </w:rPr>
      </w:pPr>
      <w:r w:rsidRPr="006D4667">
        <w:rPr>
          <w:rFonts w:ascii="Times New Roman" w:hAnsi="Times New Roman" w:cs="Times New Roman"/>
          <w:sz w:val="24"/>
          <w:szCs w:val="24"/>
        </w:rPr>
        <w:t>Algunos de los municipios situados por encima de la media presentan datos más favorables por su situación estratégica cerca de la capital</w:t>
      </w:r>
      <w:r>
        <w:rPr>
          <w:rFonts w:ascii="Times New Roman" w:hAnsi="Times New Roman" w:cs="Times New Roman"/>
          <w:sz w:val="24"/>
          <w:szCs w:val="24"/>
        </w:rPr>
        <w:t xml:space="preserve"> regional</w:t>
      </w:r>
      <w:r w:rsidRPr="006D4667">
        <w:rPr>
          <w:rFonts w:ascii="Times New Roman" w:hAnsi="Times New Roman" w:cs="Times New Roman"/>
          <w:sz w:val="24"/>
          <w:szCs w:val="24"/>
        </w:rPr>
        <w:t xml:space="preserve"> (Lorquí, Santomera, Alguazas, Beniel, Ceutí, Las Torres de Cotillas y Molina de Segura), por lo que atraen a población hacia su área de influencia. Esto se debe a que el precio del suelo, el alquiler de viviendas y el precio de los servicios es mayor en Murcia que en estos municipios, y además cuentan también con abundantes servicios y una actividad económica dinámica.</w:t>
      </w:r>
    </w:p>
    <w:p w:rsidR="00D05621" w:rsidRDefault="006D4667" w:rsidP="00210056">
      <w:pPr>
        <w:spacing w:line="360" w:lineRule="auto"/>
        <w:ind w:firstLine="284"/>
        <w:jc w:val="both"/>
        <w:rPr>
          <w:rFonts w:ascii="Times New Roman" w:hAnsi="Times New Roman" w:cs="Times New Roman"/>
          <w:sz w:val="24"/>
          <w:szCs w:val="24"/>
        </w:rPr>
      </w:pPr>
      <w:r w:rsidRPr="006D4667">
        <w:rPr>
          <w:rFonts w:ascii="Times New Roman" w:hAnsi="Times New Roman" w:cs="Times New Roman"/>
          <w:sz w:val="24"/>
          <w:szCs w:val="24"/>
        </w:rPr>
        <w:t>Los municipios situados en el litoral de la Región presentan tasas también favorables, ya que atraen numerosa población joven, sin embargo, en menor medida que los municipios cercanos a la capital. Se trata de municipios como Águilas, Cartagena, San Javier y San Pedro del Pinatar.</w:t>
      </w:r>
    </w:p>
    <w:p w:rsidR="006D4667" w:rsidRPr="006D4667" w:rsidRDefault="006D4667" w:rsidP="00210056">
      <w:pPr>
        <w:spacing w:line="360" w:lineRule="auto"/>
        <w:ind w:firstLine="284"/>
        <w:jc w:val="both"/>
        <w:rPr>
          <w:rFonts w:ascii="Times New Roman" w:hAnsi="Times New Roman" w:cs="Times New Roman"/>
          <w:sz w:val="24"/>
          <w:szCs w:val="24"/>
        </w:rPr>
      </w:pPr>
      <w:r w:rsidRPr="00D061D6">
        <w:rPr>
          <w:rFonts w:ascii="Times New Roman" w:hAnsi="Times New Roman" w:cs="Times New Roman"/>
          <w:sz w:val="24"/>
          <w:szCs w:val="24"/>
        </w:rPr>
        <w:lastRenderedPageBreak/>
        <w:t>La estructura por grandes grupos de edad por municipios (Figura 1</w:t>
      </w:r>
      <w:r w:rsidR="004852DD">
        <w:rPr>
          <w:rFonts w:ascii="Times New Roman" w:hAnsi="Times New Roman" w:cs="Times New Roman"/>
          <w:sz w:val="24"/>
          <w:szCs w:val="24"/>
        </w:rPr>
        <w:t>4</w:t>
      </w:r>
      <w:r w:rsidRPr="00D061D6">
        <w:rPr>
          <w:rFonts w:ascii="Times New Roman" w:hAnsi="Times New Roman" w:cs="Times New Roman"/>
          <w:sz w:val="24"/>
          <w:szCs w:val="24"/>
        </w:rPr>
        <w:t>) muestra lo que se ha reflejado en el m</w:t>
      </w:r>
      <w:r w:rsidR="00D061D6">
        <w:rPr>
          <w:rFonts w:ascii="Times New Roman" w:hAnsi="Times New Roman" w:cs="Times New Roman"/>
          <w:sz w:val="24"/>
          <w:szCs w:val="24"/>
        </w:rPr>
        <w:t xml:space="preserve">apa de envejecimiento anterior; </w:t>
      </w:r>
      <w:r w:rsidRPr="00D061D6">
        <w:rPr>
          <w:rFonts w:ascii="Times New Roman" w:hAnsi="Times New Roman" w:cs="Times New Roman"/>
          <w:sz w:val="24"/>
          <w:szCs w:val="24"/>
        </w:rPr>
        <w:t>se puede comprobar el porcentaje que posee cada municipio en cuanto a jóvenes, adultos y ancianos.</w:t>
      </w:r>
      <w:r w:rsidR="00D061D6">
        <w:rPr>
          <w:rFonts w:ascii="Times New Roman" w:hAnsi="Times New Roman" w:cs="Times New Roman"/>
          <w:sz w:val="24"/>
          <w:szCs w:val="24"/>
        </w:rPr>
        <w:t xml:space="preserve"> </w:t>
      </w:r>
      <w:r w:rsidRPr="006D4667">
        <w:rPr>
          <w:rFonts w:ascii="Times New Roman" w:hAnsi="Times New Roman" w:cs="Times New Roman"/>
          <w:sz w:val="24"/>
          <w:szCs w:val="24"/>
        </w:rPr>
        <w:t xml:space="preserve">Lorquí, Santomera, Alguazas, Beniel, Ceutí, Las Torres de Cotillas y Molina de Segura </w:t>
      </w:r>
      <w:r w:rsidR="00EE2F9E" w:rsidRPr="006D4667">
        <w:rPr>
          <w:rFonts w:ascii="Times New Roman" w:hAnsi="Times New Roman" w:cs="Times New Roman"/>
          <w:sz w:val="24"/>
          <w:szCs w:val="24"/>
        </w:rPr>
        <w:t>destacan</w:t>
      </w:r>
      <w:r w:rsidRPr="006D4667">
        <w:rPr>
          <w:rFonts w:ascii="Times New Roman" w:hAnsi="Times New Roman" w:cs="Times New Roman"/>
          <w:sz w:val="24"/>
          <w:szCs w:val="24"/>
        </w:rPr>
        <w:t xml:space="preserve"> como municipios con mayor proporción de jóvenes, por lo que resultan menos envejecidos que el resto. En cuanto al mayor porcentaje de ancianos resaltan Ojós, Moratalla, Abanilla, Aledo, Ulea y Ricote. Estos municipios, como se ha mencionado, son municipios rurales y poco dinámicos, lo que </w:t>
      </w:r>
      <w:r w:rsidR="008110D4">
        <w:rPr>
          <w:rFonts w:ascii="Times New Roman" w:hAnsi="Times New Roman" w:cs="Times New Roman"/>
          <w:sz w:val="24"/>
          <w:szCs w:val="24"/>
        </w:rPr>
        <w:t>no atrae a población joven y produce emigración en la residente</w:t>
      </w:r>
      <w:r w:rsidRPr="006D4667">
        <w:rPr>
          <w:rFonts w:ascii="Times New Roman" w:hAnsi="Times New Roman" w:cs="Times New Roman"/>
          <w:sz w:val="24"/>
          <w:szCs w:val="24"/>
        </w:rPr>
        <w:t>, dando como resultado una población estancada y envejecida.</w:t>
      </w:r>
    </w:p>
    <w:p w:rsidR="006D4667" w:rsidRDefault="006D4667" w:rsidP="00210056">
      <w:pPr>
        <w:spacing w:line="360" w:lineRule="auto"/>
        <w:ind w:firstLine="284"/>
        <w:jc w:val="both"/>
        <w:rPr>
          <w:rFonts w:ascii="Times New Roman" w:hAnsi="Times New Roman" w:cs="Times New Roman"/>
          <w:sz w:val="24"/>
          <w:szCs w:val="24"/>
        </w:rPr>
      </w:pPr>
      <w:r w:rsidRPr="006D4667">
        <w:rPr>
          <w:rFonts w:ascii="Times New Roman" w:hAnsi="Times New Roman" w:cs="Times New Roman"/>
          <w:sz w:val="24"/>
          <w:szCs w:val="24"/>
        </w:rPr>
        <w:t>La Figura 1</w:t>
      </w:r>
      <w:r w:rsidR="004852DD">
        <w:rPr>
          <w:rFonts w:ascii="Times New Roman" w:hAnsi="Times New Roman" w:cs="Times New Roman"/>
          <w:sz w:val="24"/>
          <w:szCs w:val="24"/>
        </w:rPr>
        <w:t>5</w:t>
      </w:r>
      <w:r w:rsidR="007240EF">
        <w:rPr>
          <w:rFonts w:ascii="Times New Roman" w:hAnsi="Times New Roman" w:cs="Times New Roman"/>
          <w:sz w:val="24"/>
          <w:szCs w:val="24"/>
        </w:rPr>
        <w:t>,</w:t>
      </w:r>
      <w:r w:rsidRPr="006D4667">
        <w:rPr>
          <w:rFonts w:ascii="Times New Roman" w:hAnsi="Times New Roman" w:cs="Times New Roman"/>
          <w:sz w:val="24"/>
          <w:szCs w:val="24"/>
        </w:rPr>
        <w:t xml:space="preserve"> </w:t>
      </w:r>
      <w:r w:rsidR="007240EF">
        <w:rPr>
          <w:rFonts w:ascii="Times New Roman" w:hAnsi="Times New Roman" w:cs="Times New Roman"/>
          <w:sz w:val="24"/>
          <w:szCs w:val="24"/>
        </w:rPr>
        <w:t>sobre</w:t>
      </w:r>
      <w:r w:rsidRPr="006D4667">
        <w:rPr>
          <w:rFonts w:ascii="Times New Roman" w:hAnsi="Times New Roman" w:cs="Times New Roman"/>
          <w:sz w:val="24"/>
          <w:szCs w:val="24"/>
        </w:rPr>
        <w:t xml:space="preserve"> el índice de sobreenvejecimiento</w:t>
      </w:r>
      <w:r w:rsidR="007240EF">
        <w:rPr>
          <w:rFonts w:ascii="Times New Roman" w:hAnsi="Times New Roman" w:cs="Times New Roman"/>
          <w:sz w:val="24"/>
          <w:szCs w:val="24"/>
        </w:rPr>
        <w:t>,</w:t>
      </w:r>
      <w:r w:rsidRPr="006D4667">
        <w:rPr>
          <w:rFonts w:ascii="Times New Roman" w:hAnsi="Times New Roman" w:cs="Times New Roman"/>
          <w:sz w:val="24"/>
          <w:szCs w:val="24"/>
        </w:rPr>
        <w:t xml:space="preserve"> muestra la misma realidad demográfica, pero con algunos cambios. </w:t>
      </w:r>
      <w:r w:rsidR="00B06B06">
        <w:rPr>
          <w:rFonts w:ascii="Times New Roman" w:hAnsi="Times New Roman" w:cs="Times New Roman"/>
          <w:sz w:val="24"/>
          <w:szCs w:val="24"/>
        </w:rPr>
        <w:t>Este índice</w:t>
      </w:r>
      <w:r w:rsidRPr="006D4667">
        <w:rPr>
          <w:rFonts w:ascii="Times New Roman" w:hAnsi="Times New Roman" w:cs="Times New Roman"/>
          <w:sz w:val="24"/>
          <w:szCs w:val="24"/>
        </w:rPr>
        <w:t xml:space="preserve"> es la relación entre las cohortes de población de 75 y más años de edad y las de 65 a 74 años. Los resultados evidencian el número de personas mayores de 74 años por cada 100 personas que se encuentran entre los 65 y los 74. La media regional del índice de</w:t>
      </w:r>
      <w:r w:rsidR="00D061D6">
        <w:rPr>
          <w:rFonts w:ascii="Times New Roman" w:hAnsi="Times New Roman" w:cs="Times New Roman"/>
          <w:sz w:val="24"/>
          <w:szCs w:val="24"/>
        </w:rPr>
        <w:t xml:space="preserve"> sobreenvejecimiento es de 98,8%. </w:t>
      </w:r>
      <w:r w:rsidRPr="006D4667">
        <w:rPr>
          <w:rFonts w:ascii="Times New Roman" w:hAnsi="Times New Roman" w:cs="Times New Roman"/>
          <w:sz w:val="24"/>
          <w:szCs w:val="24"/>
        </w:rPr>
        <w:t>32</w:t>
      </w:r>
      <w:r w:rsidR="00D061D6">
        <w:rPr>
          <w:rFonts w:ascii="Times New Roman" w:hAnsi="Times New Roman" w:cs="Times New Roman"/>
          <w:sz w:val="24"/>
          <w:szCs w:val="24"/>
        </w:rPr>
        <w:t xml:space="preserve"> de los 45</w:t>
      </w:r>
      <w:r w:rsidRPr="006D4667">
        <w:rPr>
          <w:rFonts w:ascii="Times New Roman" w:hAnsi="Times New Roman" w:cs="Times New Roman"/>
          <w:sz w:val="24"/>
          <w:szCs w:val="24"/>
        </w:rPr>
        <w:t xml:space="preserve"> municipios se sitúan por encima de la media. Estos municipios son los siguientes en orden ascendente: La Unión, Alguazas, Murcia, Beniel, Totana, Cehegín, Lorca, Lorquí, Alhama de Murcia, Ulea, Fuente Álamo, Ceutí, Abarán, Cieza, Albudeite, Archena, Puerto Lumbreras, Blanca, Abanilla, Jumilla, Mula, Calasparra, Bullas, Librilla, Yecla, Pliego, Caravaca de la Cruz, Santomera, Ojós, Moratalla, Villanueva del Río Segura y Ricote. </w:t>
      </w:r>
      <w:r w:rsidR="007240EF">
        <w:rPr>
          <w:rFonts w:ascii="Times New Roman" w:hAnsi="Times New Roman" w:cs="Times New Roman"/>
          <w:sz w:val="24"/>
          <w:szCs w:val="24"/>
        </w:rPr>
        <w:t>En cambio,</w:t>
      </w:r>
      <w:r w:rsidRPr="006D4667">
        <w:rPr>
          <w:rFonts w:ascii="Times New Roman" w:hAnsi="Times New Roman" w:cs="Times New Roman"/>
          <w:sz w:val="24"/>
          <w:szCs w:val="24"/>
        </w:rPr>
        <w:t xml:space="preserve"> los que poseen unas tasas inferiores a la media regional son los siguientes en orden descendente: Campos del Río, Cartagena, Alcantarilla, San Pedro del Pinatar, Águilas, Fortuna, Torre-Pacheco, Molina de Segura, Aledo, San Javier, Las Torres de Cotillas, Los Alcázares y Mazarrón.</w:t>
      </w:r>
    </w:p>
    <w:p w:rsidR="00DD4FEA" w:rsidRPr="00DD4FEA" w:rsidRDefault="00DD4FEA" w:rsidP="00DD4FEA">
      <w:pPr>
        <w:spacing w:line="360" w:lineRule="auto"/>
        <w:ind w:firstLine="284"/>
        <w:jc w:val="both"/>
        <w:rPr>
          <w:rFonts w:ascii="Times New Roman" w:hAnsi="Times New Roman" w:cs="Times New Roman"/>
          <w:sz w:val="24"/>
          <w:szCs w:val="24"/>
        </w:rPr>
      </w:pPr>
      <w:r w:rsidRPr="00DD4FEA">
        <w:rPr>
          <w:rFonts w:ascii="Times New Roman" w:hAnsi="Times New Roman" w:cs="Times New Roman"/>
          <w:sz w:val="24"/>
          <w:szCs w:val="24"/>
        </w:rPr>
        <w:t>En resumen, la Región de Murcia está compuesta en su mayoría por municipios con índices de envejecimiento y sobreenvejecimiento superiores a la media regional.</w:t>
      </w:r>
    </w:p>
    <w:p w:rsidR="004C1968" w:rsidRDefault="00DD4FEA" w:rsidP="00DD4FEA">
      <w:pPr>
        <w:spacing w:line="360" w:lineRule="auto"/>
        <w:ind w:firstLine="284"/>
        <w:jc w:val="both"/>
        <w:rPr>
          <w:rFonts w:ascii="Times New Roman" w:hAnsi="Times New Roman" w:cs="Times New Roman"/>
          <w:sz w:val="24"/>
          <w:szCs w:val="24"/>
        </w:rPr>
      </w:pPr>
      <w:r w:rsidRPr="00DD4FEA">
        <w:rPr>
          <w:rFonts w:ascii="Times New Roman" w:hAnsi="Times New Roman" w:cs="Times New Roman"/>
          <w:sz w:val="24"/>
          <w:szCs w:val="24"/>
        </w:rPr>
        <w:t xml:space="preserve">En la Figura 16 se observa la tasa de dependencia de mayores de 64 años para los municipios </w:t>
      </w:r>
      <w:r>
        <w:rPr>
          <w:rFonts w:ascii="Times New Roman" w:hAnsi="Times New Roman" w:cs="Times New Roman"/>
          <w:sz w:val="24"/>
          <w:szCs w:val="24"/>
        </w:rPr>
        <w:t>de</w:t>
      </w:r>
      <w:r w:rsidRPr="00DD4FEA">
        <w:rPr>
          <w:rFonts w:ascii="Times New Roman" w:hAnsi="Times New Roman" w:cs="Times New Roman"/>
          <w:sz w:val="24"/>
          <w:szCs w:val="24"/>
        </w:rPr>
        <w:t xml:space="preserve"> la Región de Murcia en el año 2013. Los </w:t>
      </w:r>
      <w:r w:rsidR="00136434">
        <w:rPr>
          <w:rFonts w:ascii="Times New Roman" w:hAnsi="Times New Roman" w:cs="Times New Roman"/>
          <w:sz w:val="24"/>
          <w:szCs w:val="24"/>
        </w:rPr>
        <w:t>que presentan</w:t>
      </w:r>
      <w:r w:rsidRPr="00DD4FEA">
        <w:rPr>
          <w:rFonts w:ascii="Times New Roman" w:hAnsi="Times New Roman" w:cs="Times New Roman"/>
          <w:sz w:val="24"/>
          <w:szCs w:val="24"/>
        </w:rPr>
        <w:t xml:space="preserve"> mayores tasas de dependencia son los más envejecidos y menos dinámicos. La media para la región en 2013 es de 21,4%, lo que indica que hay 26 municipios con tasas más elevadas.</w:t>
      </w:r>
    </w:p>
    <w:p w:rsidR="00D05621" w:rsidRPr="00D05621" w:rsidRDefault="00D05621" w:rsidP="00D05621">
      <w:pPr>
        <w:spacing w:line="360" w:lineRule="auto"/>
        <w:ind w:firstLine="284"/>
        <w:jc w:val="both"/>
        <w:rPr>
          <w:rFonts w:ascii="Times New Roman" w:hAnsi="Times New Roman" w:cs="Times New Roman"/>
          <w:sz w:val="24"/>
          <w:szCs w:val="24"/>
        </w:rPr>
      </w:pPr>
      <w:r w:rsidRPr="00D05621">
        <w:rPr>
          <w:rFonts w:ascii="Times New Roman" w:hAnsi="Times New Roman" w:cs="Times New Roman"/>
          <w:sz w:val="24"/>
          <w:szCs w:val="24"/>
        </w:rPr>
        <w:t>Aquéllos que poseen las tasas más elevadas son los siguientes en orden ascendente: Ojós, Mazarrón, Pliego, Moratalla, Abanilla, Aledo, Ulea y Ricote. En cambio, los municipios que poseen las mejores tasas son los siguientes en orden descendente: Fuente Álamo, Alcantarilla, Santomera, Lorquí, Alguazas, Beniel, La Unión, Ceutí, Las Torres de Cotillas, Torre-Pacheco y Molina de Segura.</w:t>
      </w:r>
    </w:p>
    <w:p w:rsidR="007240EF" w:rsidRDefault="007240EF" w:rsidP="007240EF">
      <w:pPr>
        <w:jc w:val="center"/>
        <w:rPr>
          <w:rFonts w:ascii="Times New Roman" w:hAnsi="Times New Roman" w:cs="Times New Roman"/>
          <w:bCs/>
          <w:sz w:val="24"/>
          <w:szCs w:val="24"/>
        </w:rPr>
      </w:pPr>
      <w:r>
        <w:rPr>
          <w:rFonts w:ascii="Times New Roman" w:hAnsi="Times New Roman" w:cs="Times New Roman"/>
          <w:bCs/>
          <w:sz w:val="24"/>
          <w:szCs w:val="24"/>
        </w:rPr>
        <w:lastRenderedPageBreak/>
        <w:t>FIGURA 14</w:t>
      </w:r>
    </w:p>
    <w:p w:rsidR="007240EF" w:rsidRPr="00D061D6" w:rsidRDefault="007240EF" w:rsidP="007240EF">
      <w:pPr>
        <w:jc w:val="center"/>
        <w:rPr>
          <w:rFonts w:ascii="Times New Roman" w:hAnsi="Times New Roman" w:cs="Times New Roman"/>
          <w:sz w:val="24"/>
          <w:szCs w:val="24"/>
        </w:rPr>
      </w:pPr>
      <w:r w:rsidRPr="00D061D6">
        <w:rPr>
          <w:rFonts w:ascii="Times New Roman" w:hAnsi="Times New Roman" w:cs="Times New Roman"/>
          <w:bCs/>
          <w:sz w:val="24"/>
          <w:szCs w:val="24"/>
        </w:rPr>
        <w:t>Población según municipio</w:t>
      </w:r>
      <w:r>
        <w:rPr>
          <w:rFonts w:ascii="Times New Roman" w:hAnsi="Times New Roman" w:cs="Times New Roman"/>
          <w:bCs/>
          <w:sz w:val="24"/>
          <w:szCs w:val="24"/>
        </w:rPr>
        <w:t>s y edad (grandes grupos), 2013</w:t>
      </w:r>
    </w:p>
    <w:p w:rsidR="007240EF" w:rsidRPr="006D4667" w:rsidRDefault="007240EF" w:rsidP="007240EF">
      <w:pPr>
        <w:jc w:val="center"/>
        <w:rPr>
          <w:rFonts w:ascii="Times New Roman" w:hAnsi="Times New Roman" w:cs="Times New Roman"/>
          <w:sz w:val="24"/>
          <w:szCs w:val="24"/>
        </w:rPr>
      </w:pPr>
      <w:r w:rsidRPr="006D4667">
        <w:rPr>
          <w:rFonts w:ascii="Times New Roman" w:hAnsi="Times New Roman" w:cs="Times New Roman"/>
          <w:noProof/>
          <w:sz w:val="24"/>
          <w:szCs w:val="24"/>
          <w:lang w:eastAsia="es-ES"/>
        </w:rPr>
        <w:drawing>
          <wp:inline distT="0" distB="0" distL="0" distR="0">
            <wp:extent cx="5305425" cy="8305800"/>
            <wp:effectExtent l="0" t="0" r="0" b="0"/>
            <wp:docPr id="29" name="Gráfico 1"/>
            <wp:cNvGraphicFramePr/>
            <a:graphic xmlns:a="http://schemas.openxmlformats.org/drawingml/2006/main">
              <a:graphicData uri="http://schemas.openxmlformats.org/drawingml/2006/chart">
                <c:chart xmlns:c="http://schemas.openxmlformats.org/drawingml/2006/chart" xmlns:r="http://schemas.openxmlformats.org/officeDocument/2006/relationships" r:id="rId21"/>
              </a:graphicData>
            </a:graphic>
          </wp:inline>
        </w:drawing>
      </w:r>
    </w:p>
    <w:p w:rsidR="007240EF" w:rsidRPr="006D4667" w:rsidRDefault="007240EF" w:rsidP="007240EF">
      <w:pPr>
        <w:jc w:val="both"/>
        <w:rPr>
          <w:rFonts w:ascii="Times New Roman" w:hAnsi="Times New Roman" w:cs="Times New Roman"/>
          <w:sz w:val="24"/>
          <w:szCs w:val="24"/>
        </w:rPr>
      </w:pPr>
      <w:r w:rsidRPr="006D4667">
        <w:rPr>
          <w:rFonts w:ascii="Times New Roman" w:hAnsi="Times New Roman" w:cs="Times New Roman"/>
          <w:sz w:val="24"/>
          <w:szCs w:val="24"/>
        </w:rPr>
        <w:t>Fuente: Elaboración propia a partir de los datos extraídos del CREM.</w:t>
      </w:r>
    </w:p>
    <w:p w:rsidR="007240EF" w:rsidRDefault="007240EF" w:rsidP="007240EF">
      <w:pPr>
        <w:spacing w:line="360" w:lineRule="auto"/>
        <w:jc w:val="center"/>
        <w:rPr>
          <w:rFonts w:ascii="Times New Roman" w:hAnsi="Times New Roman" w:cs="Times New Roman"/>
          <w:sz w:val="24"/>
          <w:szCs w:val="24"/>
        </w:rPr>
      </w:pPr>
      <w:r>
        <w:rPr>
          <w:rFonts w:ascii="Times New Roman" w:hAnsi="Times New Roman" w:cs="Times New Roman"/>
          <w:sz w:val="24"/>
          <w:szCs w:val="24"/>
        </w:rPr>
        <w:lastRenderedPageBreak/>
        <w:t>FIGURA 15</w:t>
      </w:r>
    </w:p>
    <w:p w:rsidR="007240EF" w:rsidRPr="00596B44" w:rsidRDefault="007240EF" w:rsidP="007240EF">
      <w:pPr>
        <w:spacing w:line="360" w:lineRule="auto"/>
        <w:jc w:val="center"/>
        <w:rPr>
          <w:rFonts w:ascii="Times New Roman" w:hAnsi="Times New Roman" w:cs="Times New Roman"/>
          <w:noProof/>
          <w:sz w:val="24"/>
          <w:szCs w:val="24"/>
        </w:rPr>
      </w:pPr>
      <w:r w:rsidRPr="00596B44">
        <w:rPr>
          <w:rFonts w:ascii="Times New Roman" w:hAnsi="Times New Roman" w:cs="Times New Roman"/>
          <w:sz w:val="24"/>
          <w:szCs w:val="24"/>
        </w:rPr>
        <w:t xml:space="preserve">Índice de sobreenvejecimiento </w:t>
      </w:r>
      <w:r w:rsidRPr="00596B44">
        <w:rPr>
          <w:rFonts w:ascii="Times New Roman" w:hAnsi="Times New Roman" w:cs="Times New Roman"/>
          <w:noProof/>
          <w:sz w:val="24"/>
          <w:szCs w:val="24"/>
        </w:rPr>
        <w:t xml:space="preserve">(%) por municipios </w:t>
      </w:r>
      <w:r>
        <w:rPr>
          <w:rFonts w:ascii="Times New Roman" w:hAnsi="Times New Roman" w:cs="Times New Roman"/>
          <w:noProof/>
          <w:sz w:val="24"/>
          <w:szCs w:val="24"/>
        </w:rPr>
        <w:t>para la Región de Murcia (2013)</w:t>
      </w:r>
    </w:p>
    <w:p w:rsidR="007240EF" w:rsidRPr="006D4667" w:rsidRDefault="007240EF" w:rsidP="007240EF">
      <w:pPr>
        <w:jc w:val="center"/>
        <w:rPr>
          <w:rFonts w:ascii="Times New Roman" w:hAnsi="Times New Roman" w:cs="Times New Roman"/>
          <w:b/>
          <w:noProof/>
          <w:sz w:val="24"/>
          <w:szCs w:val="24"/>
        </w:rPr>
      </w:pPr>
      <w:r w:rsidRPr="006D4667">
        <w:rPr>
          <w:rFonts w:ascii="Times New Roman" w:hAnsi="Times New Roman" w:cs="Times New Roman"/>
          <w:b/>
          <w:noProof/>
          <w:sz w:val="24"/>
          <w:szCs w:val="24"/>
          <w:lang w:eastAsia="es-ES"/>
        </w:rPr>
        <w:drawing>
          <wp:inline distT="0" distB="0" distL="0" distR="0">
            <wp:extent cx="5400675" cy="8048625"/>
            <wp:effectExtent l="0" t="0" r="0" b="0"/>
            <wp:docPr id="31" name="Gráfico 34"/>
            <wp:cNvGraphicFramePr/>
            <a:graphic xmlns:a="http://schemas.openxmlformats.org/drawingml/2006/main">
              <a:graphicData uri="http://schemas.openxmlformats.org/drawingml/2006/chart">
                <c:chart xmlns:c="http://schemas.openxmlformats.org/drawingml/2006/chart" xmlns:r="http://schemas.openxmlformats.org/officeDocument/2006/relationships" r:id="rId22"/>
              </a:graphicData>
            </a:graphic>
          </wp:inline>
        </w:drawing>
      </w:r>
    </w:p>
    <w:p w:rsidR="007240EF" w:rsidRPr="006D4667" w:rsidRDefault="007240EF" w:rsidP="007240EF">
      <w:pPr>
        <w:jc w:val="both"/>
        <w:rPr>
          <w:rFonts w:ascii="Times New Roman" w:eastAsia="Times New Roman" w:hAnsi="Times New Roman" w:cs="Times New Roman"/>
          <w:color w:val="000000"/>
          <w:sz w:val="24"/>
          <w:szCs w:val="24"/>
        </w:rPr>
      </w:pPr>
      <w:r w:rsidRPr="006D4667">
        <w:rPr>
          <w:rFonts w:ascii="Times New Roman" w:eastAsia="Times New Roman" w:hAnsi="Times New Roman" w:cs="Times New Roman"/>
          <w:color w:val="000000"/>
          <w:sz w:val="24"/>
          <w:szCs w:val="24"/>
        </w:rPr>
        <w:t>Fuente: Elaboración propia a partir de los datos extraídos del CREM.</w:t>
      </w:r>
    </w:p>
    <w:p w:rsidR="0065283E" w:rsidRDefault="006D4667" w:rsidP="0065283E">
      <w:pPr>
        <w:spacing w:line="360" w:lineRule="auto"/>
        <w:ind w:firstLine="284"/>
        <w:jc w:val="both"/>
        <w:rPr>
          <w:rFonts w:ascii="Times New Roman" w:hAnsi="Times New Roman" w:cs="Times New Roman"/>
          <w:sz w:val="24"/>
          <w:szCs w:val="24"/>
        </w:rPr>
      </w:pPr>
      <w:r w:rsidRPr="006D4667">
        <w:rPr>
          <w:rFonts w:ascii="Times New Roman" w:hAnsi="Times New Roman" w:cs="Times New Roman"/>
          <w:bCs/>
          <w:sz w:val="24"/>
          <w:szCs w:val="24"/>
        </w:rPr>
        <w:lastRenderedPageBreak/>
        <w:t xml:space="preserve">La desaceleración en el ritmo de crecimiento de la población española ha estado acompañada de un aumento ininterrumpido de la ratio de dependencia </w:t>
      </w:r>
      <w:r w:rsidRPr="006D4667">
        <w:rPr>
          <w:rFonts w:ascii="Times New Roman" w:hAnsi="Times New Roman" w:cs="Times New Roman"/>
          <w:sz w:val="24"/>
          <w:szCs w:val="24"/>
        </w:rPr>
        <w:t>(</w:t>
      </w:r>
      <w:r w:rsidR="00077DD7" w:rsidRPr="006D4667">
        <w:rPr>
          <w:rFonts w:ascii="Times New Roman" w:hAnsi="Times New Roman" w:cs="Times New Roman"/>
          <w:sz w:val="24"/>
          <w:szCs w:val="24"/>
        </w:rPr>
        <w:t xml:space="preserve">HERNÁNDEZ DE COS </w:t>
      </w:r>
      <w:r w:rsidR="005E49A7">
        <w:rPr>
          <w:rFonts w:ascii="Times New Roman" w:hAnsi="Times New Roman" w:cs="Times New Roman"/>
          <w:sz w:val="24"/>
          <w:szCs w:val="24"/>
        </w:rPr>
        <w:t>y</w:t>
      </w:r>
      <w:r w:rsidR="00077DD7" w:rsidRPr="006D4667">
        <w:rPr>
          <w:rFonts w:ascii="Times New Roman" w:hAnsi="Times New Roman" w:cs="Times New Roman"/>
          <w:sz w:val="24"/>
          <w:szCs w:val="24"/>
        </w:rPr>
        <w:t xml:space="preserve"> ORTEGA REGATO</w:t>
      </w:r>
      <w:r w:rsidRPr="006D4667">
        <w:rPr>
          <w:rFonts w:ascii="Times New Roman" w:hAnsi="Times New Roman" w:cs="Times New Roman"/>
          <w:sz w:val="24"/>
          <w:szCs w:val="24"/>
        </w:rPr>
        <w:t xml:space="preserve">, 2002), definida como la relación que existe entre la población que puede acceder a la pensión de jubilación (los mayores de 65 años) y la población en edad de trabajar (los comprendidos entre los 16 y los 64 años). </w:t>
      </w:r>
    </w:p>
    <w:p w:rsidR="006D4667" w:rsidRDefault="006D4667" w:rsidP="0065283E">
      <w:pPr>
        <w:spacing w:line="360" w:lineRule="auto"/>
        <w:ind w:firstLine="284"/>
        <w:jc w:val="both"/>
        <w:rPr>
          <w:rFonts w:ascii="Times New Roman" w:hAnsi="Times New Roman" w:cs="Times New Roman"/>
          <w:sz w:val="24"/>
          <w:szCs w:val="24"/>
        </w:rPr>
      </w:pPr>
      <w:r w:rsidRPr="006D4667">
        <w:rPr>
          <w:rFonts w:ascii="Times New Roman" w:hAnsi="Times New Roman" w:cs="Times New Roman"/>
          <w:sz w:val="24"/>
          <w:szCs w:val="24"/>
        </w:rPr>
        <w:t>Este envejecimiento demográfico</w:t>
      </w:r>
      <w:r w:rsidR="007240EF">
        <w:rPr>
          <w:rFonts w:ascii="Times New Roman" w:hAnsi="Times New Roman" w:cs="Times New Roman"/>
          <w:sz w:val="24"/>
          <w:szCs w:val="24"/>
        </w:rPr>
        <w:t>,</w:t>
      </w:r>
      <w:r w:rsidRPr="006D4667">
        <w:rPr>
          <w:rFonts w:ascii="Times New Roman" w:hAnsi="Times New Roman" w:cs="Times New Roman"/>
          <w:sz w:val="24"/>
          <w:szCs w:val="24"/>
        </w:rPr>
        <w:t xml:space="preserve"> que provoca las elevadas tasas de dependencia</w:t>
      </w:r>
      <w:r w:rsidR="007240EF">
        <w:rPr>
          <w:rFonts w:ascii="Times New Roman" w:hAnsi="Times New Roman" w:cs="Times New Roman"/>
          <w:sz w:val="24"/>
          <w:szCs w:val="24"/>
        </w:rPr>
        <w:t>,</w:t>
      </w:r>
      <w:r w:rsidRPr="006D4667">
        <w:rPr>
          <w:rFonts w:ascii="Times New Roman" w:hAnsi="Times New Roman" w:cs="Times New Roman"/>
          <w:sz w:val="24"/>
          <w:szCs w:val="24"/>
        </w:rPr>
        <w:t xml:space="preserve"> influye también de manera directa en el sistema de pensiones, ya que se incrementa la ratio entre el número de pensiones y la población en edad de trabajar. Esto se traduce en un aumento del coste del sistema público de pensiones, ya que el esfuerzo económico necesario para mantener la pensión de los jubilados a un determinado nivel aumenta también (</w:t>
      </w:r>
      <w:r w:rsidR="00077DD7" w:rsidRPr="006D4667">
        <w:rPr>
          <w:rFonts w:ascii="Times New Roman" w:hAnsi="Times New Roman" w:cs="Times New Roman"/>
          <w:sz w:val="24"/>
          <w:szCs w:val="24"/>
        </w:rPr>
        <w:t>LÓPEZ DÍAZ</w:t>
      </w:r>
      <w:r w:rsidRPr="006D4667">
        <w:rPr>
          <w:rFonts w:ascii="Times New Roman" w:hAnsi="Times New Roman" w:cs="Times New Roman"/>
          <w:sz w:val="24"/>
          <w:szCs w:val="24"/>
        </w:rPr>
        <w:t xml:space="preserve">, 2006; </w:t>
      </w:r>
      <w:r w:rsidR="00077DD7" w:rsidRPr="006D4667">
        <w:rPr>
          <w:rFonts w:ascii="Times New Roman" w:hAnsi="Times New Roman" w:cs="Times New Roman"/>
          <w:sz w:val="24"/>
          <w:szCs w:val="24"/>
        </w:rPr>
        <w:t>ZUBIRI</w:t>
      </w:r>
      <w:r w:rsidRPr="006D4667">
        <w:rPr>
          <w:rFonts w:ascii="Times New Roman" w:hAnsi="Times New Roman" w:cs="Times New Roman"/>
          <w:sz w:val="24"/>
          <w:szCs w:val="24"/>
        </w:rPr>
        <w:t xml:space="preserve">, 2009). </w:t>
      </w:r>
    </w:p>
    <w:p w:rsidR="007240EF" w:rsidRDefault="007240EF" w:rsidP="007240EF">
      <w:pPr>
        <w:spacing w:line="360" w:lineRule="auto"/>
        <w:ind w:firstLine="284"/>
        <w:jc w:val="both"/>
        <w:rPr>
          <w:rFonts w:ascii="Times New Roman" w:hAnsi="Times New Roman" w:cs="Times New Roman"/>
          <w:sz w:val="24"/>
          <w:szCs w:val="24"/>
        </w:rPr>
      </w:pPr>
      <w:r w:rsidRPr="006D4667">
        <w:rPr>
          <w:rFonts w:ascii="Times New Roman" w:hAnsi="Times New Roman" w:cs="Times New Roman"/>
          <w:sz w:val="24"/>
          <w:szCs w:val="24"/>
        </w:rPr>
        <w:t>El crecimiento del número de personas mayores puede elevar las tasas de dependencia aumentando la presión sobre la población activa, ya que a mayor tasa de dependencia mayor será el número de personas que cada individuo económicamente activ</w:t>
      </w:r>
      <w:r>
        <w:rPr>
          <w:rFonts w:ascii="Times New Roman" w:hAnsi="Times New Roman" w:cs="Times New Roman"/>
          <w:sz w:val="24"/>
          <w:szCs w:val="24"/>
        </w:rPr>
        <w:t>o</w:t>
      </w:r>
      <w:r w:rsidRPr="006D4667">
        <w:rPr>
          <w:rFonts w:ascii="Times New Roman" w:hAnsi="Times New Roman" w:cs="Times New Roman"/>
          <w:sz w:val="24"/>
          <w:szCs w:val="24"/>
        </w:rPr>
        <w:t xml:space="preserve"> debe mantener (GÓMEZ FAYRÉN </w:t>
      </w:r>
      <w:r w:rsidRPr="006D4667">
        <w:rPr>
          <w:rFonts w:ascii="Times New Roman" w:hAnsi="Times New Roman" w:cs="Times New Roman"/>
          <w:i/>
          <w:sz w:val="24"/>
          <w:szCs w:val="24"/>
        </w:rPr>
        <w:t>et al</w:t>
      </w:r>
      <w:r w:rsidRPr="006D4667">
        <w:rPr>
          <w:rFonts w:ascii="Times New Roman" w:hAnsi="Times New Roman" w:cs="Times New Roman"/>
          <w:sz w:val="24"/>
          <w:szCs w:val="24"/>
        </w:rPr>
        <w:t>., 1995). Mayores valores de la tasa de dependencia determinarían mayores niveles de gasto en pensiones por unidad de PIB, que pueden terminar afectando a la solvencia de un sistema de pensiones de reparto como el español (JIMÉNEZ-RIDRUEJO, 2008). Por el contrario, cuanto menor sea la tasa, menor será la carga económica que debe soportar.</w:t>
      </w:r>
    </w:p>
    <w:p w:rsidR="001E75D8" w:rsidRDefault="001E75D8" w:rsidP="001E75D8">
      <w:pPr>
        <w:spacing w:line="360" w:lineRule="auto"/>
        <w:ind w:firstLine="284"/>
        <w:jc w:val="both"/>
        <w:rPr>
          <w:rFonts w:ascii="Times New Roman" w:hAnsi="Times New Roman" w:cs="Times New Roman"/>
          <w:sz w:val="24"/>
          <w:szCs w:val="24"/>
        </w:rPr>
      </w:pPr>
      <w:r w:rsidRPr="001E75D8">
        <w:rPr>
          <w:rFonts w:ascii="Times New Roman" w:hAnsi="Times New Roman" w:cs="Times New Roman"/>
          <w:sz w:val="24"/>
          <w:szCs w:val="24"/>
        </w:rPr>
        <w:t>El aumento de la tasa de dependencia de los jóvenes se ha debido al retraso hasta los 16 años de la edad mínima legal para trabajar y a la prolongación de la escolaridad obligatoria, mientras que el aumento de la tasa de dependencia de los ancianos ha estado causada por la generalización de la jubilación pagada y por las prejubilaciones, que adelantan la salida del mundo laboral. Sólo mediante elevadas tasas de productividad es posible mantener</w:t>
      </w:r>
      <w:r w:rsidR="00000C56">
        <w:rPr>
          <w:rFonts w:ascii="Times New Roman" w:hAnsi="Times New Roman" w:cs="Times New Roman"/>
          <w:sz w:val="24"/>
          <w:szCs w:val="24"/>
        </w:rPr>
        <w:t xml:space="preserve"> las altas tasas de dependencia</w:t>
      </w:r>
      <w:r w:rsidRPr="001E75D8">
        <w:rPr>
          <w:rFonts w:ascii="Times New Roman" w:hAnsi="Times New Roman" w:cs="Times New Roman"/>
          <w:sz w:val="24"/>
          <w:szCs w:val="24"/>
        </w:rPr>
        <w:t>. No obstante, esto es muy difícil de llevar a cabo en la actualidad, debido a la situación de crisis económica.</w:t>
      </w:r>
    </w:p>
    <w:p w:rsidR="00255437" w:rsidRDefault="00255437" w:rsidP="00255437">
      <w:pPr>
        <w:spacing w:line="360" w:lineRule="auto"/>
        <w:ind w:firstLine="284"/>
        <w:jc w:val="both"/>
        <w:rPr>
          <w:rFonts w:ascii="Times New Roman" w:hAnsi="Times New Roman" w:cs="Times New Roman"/>
          <w:sz w:val="24"/>
          <w:szCs w:val="24"/>
        </w:rPr>
      </w:pPr>
      <w:r w:rsidRPr="00255437">
        <w:rPr>
          <w:rFonts w:ascii="Times New Roman" w:hAnsi="Times New Roman" w:cs="Times New Roman"/>
          <w:sz w:val="24"/>
          <w:szCs w:val="24"/>
        </w:rPr>
        <w:t>Para finalizar este apartado cabe mencionar la relación existente entre el envejecimiento de la población y la inmigración. En la Figura 17 se observa perfectamente esta relación, ya que los municipios con mayor porcentaje de población extranjera poseen menor envejecimiento demográfico. En este sentido, puede decirse que la inmigración rejuvenece en cierta medida la población residente. Por un lado, aportando población en edades jóvenes y adultas, y por otro, contribuyendo con unas tasas de fecundidad superiores a las de la Región de Murcia. Aunque esto sucede de manera temporal, resulta beneficioso para paliar la debilidad demográfica existente.</w:t>
      </w:r>
    </w:p>
    <w:p w:rsidR="00EA6CB9" w:rsidRDefault="00EA6CB9" w:rsidP="00EA6CB9">
      <w:pPr>
        <w:jc w:val="center"/>
        <w:rPr>
          <w:rFonts w:ascii="Times New Roman" w:hAnsi="Times New Roman" w:cs="Times New Roman"/>
          <w:sz w:val="24"/>
          <w:szCs w:val="24"/>
        </w:rPr>
      </w:pPr>
      <w:r>
        <w:rPr>
          <w:rFonts w:ascii="Times New Roman" w:hAnsi="Times New Roman" w:cs="Times New Roman"/>
          <w:sz w:val="24"/>
          <w:szCs w:val="24"/>
        </w:rPr>
        <w:lastRenderedPageBreak/>
        <w:t>FIGURA 16</w:t>
      </w:r>
    </w:p>
    <w:p w:rsidR="00EA6CB9" w:rsidRPr="00596B44" w:rsidRDefault="00EA6CB9" w:rsidP="00EA6CB9">
      <w:pPr>
        <w:jc w:val="center"/>
        <w:rPr>
          <w:rFonts w:ascii="Times New Roman" w:hAnsi="Times New Roman" w:cs="Times New Roman"/>
          <w:sz w:val="24"/>
          <w:szCs w:val="24"/>
        </w:rPr>
      </w:pPr>
      <w:r w:rsidRPr="00596B44">
        <w:rPr>
          <w:rFonts w:ascii="Times New Roman" w:hAnsi="Times New Roman" w:cs="Times New Roman"/>
          <w:sz w:val="24"/>
          <w:szCs w:val="24"/>
        </w:rPr>
        <w:t>Tasa de dependencia de mayores de 64 años</w:t>
      </w:r>
      <w:r w:rsidRPr="00596B44">
        <w:rPr>
          <w:rFonts w:ascii="Times New Roman" w:hAnsi="Times New Roman" w:cs="Times New Roman"/>
          <w:noProof/>
          <w:sz w:val="24"/>
          <w:szCs w:val="24"/>
        </w:rPr>
        <w:t xml:space="preserve"> (%) </w:t>
      </w:r>
      <w:r w:rsidRPr="00596B44">
        <w:rPr>
          <w:rFonts w:ascii="Times New Roman" w:hAnsi="Times New Roman" w:cs="Times New Roman"/>
          <w:sz w:val="24"/>
          <w:szCs w:val="24"/>
        </w:rPr>
        <w:t xml:space="preserve">a nivel municipal </w:t>
      </w:r>
      <w:r>
        <w:rPr>
          <w:rFonts w:ascii="Times New Roman" w:hAnsi="Times New Roman" w:cs="Times New Roman"/>
          <w:sz w:val="24"/>
          <w:szCs w:val="24"/>
        </w:rPr>
        <w:t>para la Región de Murcia (2013)</w:t>
      </w:r>
    </w:p>
    <w:p w:rsidR="00EA6CB9" w:rsidRPr="006D4667" w:rsidRDefault="00EA6CB9" w:rsidP="00EA6CB9">
      <w:pPr>
        <w:jc w:val="both"/>
        <w:rPr>
          <w:rFonts w:ascii="Times New Roman" w:hAnsi="Times New Roman" w:cs="Times New Roman"/>
          <w:sz w:val="24"/>
          <w:szCs w:val="24"/>
        </w:rPr>
      </w:pPr>
      <w:r w:rsidRPr="006D4667">
        <w:rPr>
          <w:rFonts w:ascii="Times New Roman" w:hAnsi="Times New Roman" w:cs="Times New Roman"/>
          <w:noProof/>
          <w:sz w:val="24"/>
          <w:szCs w:val="24"/>
          <w:lang w:eastAsia="es-ES"/>
        </w:rPr>
        <w:drawing>
          <wp:inline distT="0" distB="0" distL="0" distR="0">
            <wp:extent cx="5400675" cy="7629525"/>
            <wp:effectExtent l="0" t="0" r="0" b="0"/>
            <wp:docPr id="37" name="Gráfico 20"/>
            <wp:cNvGraphicFramePr/>
            <a:graphic xmlns:a="http://schemas.openxmlformats.org/drawingml/2006/main">
              <a:graphicData uri="http://schemas.openxmlformats.org/drawingml/2006/chart">
                <c:chart xmlns:c="http://schemas.openxmlformats.org/drawingml/2006/chart" xmlns:r="http://schemas.openxmlformats.org/officeDocument/2006/relationships" r:id="rId23"/>
              </a:graphicData>
            </a:graphic>
          </wp:inline>
        </w:drawing>
      </w:r>
    </w:p>
    <w:p w:rsidR="00EA6CB9" w:rsidRPr="006D4667" w:rsidRDefault="00EA6CB9" w:rsidP="00EA6CB9">
      <w:pPr>
        <w:jc w:val="both"/>
        <w:rPr>
          <w:rFonts w:ascii="Times New Roman" w:eastAsia="Times New Roman" w:hAnsi="Times New Roman" w:cs="Times New Roman"/>
          <w:color w:val="000000"/>
          <w:sz w:val="24"/>
          <w:szCs w:val="24"/>
        </w:rPr>
      </w:pPr>
      <w:r w:rsidRPr="006D4667">
        <w:rPr>
          <w:rFonts w:ascii="Times New Roman" w:eastAsia="Times New Roman" w:hAnsi="Times New Roman" w:cs="Times New Roman"/>
          <w:color w:val="000000"/>
          <w:sz w:val="24"/>
          <w:szCs w:val="24"/>
        </w:rPr>
        <w:t>Fuente: Elaboración propia a partir de los datos extraídos del CREM.</w:t>
      </w:r>
    </w:p>
    <w:p w:rsidR="00EA6CB9" w:rsidRDefault="00EA6CB9" w:rsidP="00EA6CB9">
      <w:pPr>
        <w:jc w:val="center"/>
        <w:rPr>
          <w:rFonts w:ascii="Times New Roman" w:eastAsia="Times New Roman" w:hAnsi="Times New Roman" w:cs="Times New Roman"/>
          <w:color w:val="000000"/>
          <w:sz w:val="24"/>
          <w:szCs w:val="24"/>
        </w:rPr>
      </w:pPr>
    </w:p>
    <w:p w:rsidR="00EA6CB9" w:rsidRDefault="00EA6CB9" w:rsidP="00EA6CB9">
      <w:pPr>
        <w:jc w:val="center"/>
        <w:rPr>
          <w:rFonts w:ascii="Times New Roman" w:eastAsia="Times New Roman" w:hAnsi="Times New Roman" w:cs="Times New Roman"/>
          <w:color w:val="000000"/>
          <w:sz w:val="24"/>
          <w:szCs w:val="24"/>
        </w:rPr>
      </w:pPr>
    </w:p>
    <w:p w:rsidR="00EA6CB9" w:rsidRPr="006D4667" w:rsidRDefault="00EA6CB9" w:rsidP="00EA6CB9">
      <w:pPr>
        <w:jc w:val="center"/>
        <w:rPr>
          <w:rFonts w:ascii="Times New Roman" w:eastAsia="Times New Roman" w:hAnsi="Times New Roman" w:cs="Times New Roman"/>
          <w:color w:val="000000"/>
          <w:sz w:val="24"/>
          <w:szCs w:val="24"/>
        </w:rPr>
      </w:pPr>
    </w:p>
    <w:p w:rsidR="0001674C" w:rsidRDefault="0001674C" w:rsidP="0001674C">
      <w:pPr>
        <w:jc w:val="center"/>
        <w:rPr>
          <w:rFonts w:ascii="Times New Roman" w:hAnsi="Times New Roman" w:cs="Times New Roman"/>
          <w:sz w:val="24"/>
          <w:szCs w:val="24"/>
        </w:rPr>
      </w:pPr>
      <w:bookmarkStart w:id="19" w:name="_Toc388558094"/>
      <w:r>
        <w:rPr>
          <w:rFonts w:ascii="Times New Roman" w:hAnsi="Times New Roman" w:cs="Times New Roman"/>
          <w:sz w:val="24"/>
          <w:szCs w:val="24"/>
        </w:rPr>
        <w:lastRenderedPageBreak/>
        <w:t>FIGURA 17</w:t>
      </w:r>
    </w:p>
    <w:p w:rsidR="0001674C" w:rsidRPr="00596B44" w:rsidRDefault="0001674C" w:rsidP="0001674C">
      <w:pPr>
        <w:jc w:val="center"/>
        <w:rPr>
          <w:rFonts w:ascii="Times New Roman" w:hAnsi="Times New Roman" w:cs="Times New Roman"/>
          <w:sz w:val="24"/>
          <w:szCs w:val="24"/>
        </w:rPr>
      </w:pPr>
      <w:commentRangeStart w:id="20"/>
      <w:r>
        <w:rPr>
          <w:rFonts w:ascii="Times New Roman" w:hAnsi="Times New Roman" w:cs="Times New Roman"/>
          <w:sz w:val="24"/>
          <w:szCs w:val="24"/>
        </w:rPr>
        <w:t>Proceso de inmigración en rela</w:t>
      </w:r>
      <w:r w:rsidR="00BF5E80">
        <w:rPr>
          <w:rFonts w:ascii="Times New Roman" w:hAnsi="Times New Roman" w:cs="Times New Roman"/>
          <w:sz w:val="24"/>
          <w:szCs w:val="24"/>
        </w:rPr>
        <w:t>ción con el envejecimiento (2013</w:t>
      </w:r>
      <w:r>
        <w:rPr>
          <w:rFonts w:ascii="Times New Roman" w:hAnsi="Times New Roman" w:cs="Times New Roman"/>
          <w:sz w:val="24"/>
          <w:szCs w:val="24"/>
        </w:rPr>
        <w:t>)</w:t>
      </w:r>
      <w:commentRangeEnd w:id="20"/>
      <w:r w:rsidR="002D617C">
        <w:rPr>
          <w:rStyle w:val="Refdecomentario"/>
        </w:rPr>
        <w:commentReference w:id="20"/>
      </w:r>
    </w:p>
    <w:p w:rsidR="0001674C" w:rsidRPr="006D4667" w:rsidRDefault="00BF5E80" w:rsidP="0001674C">
      <w:pPr>
        <w:jc w:val="right"/>
        <w:rPr>
          <w:rFonts w:ascii="Times New Roman" w:hAnsi="Times New Roman" w:cs="Times New Roman"/>
          <w:sz w:val="24"/>
          <w:szCs w:val="24"/>
        </w:rPr>
      </w:pPr>
      <w:r w:rsidRPr="00BF5E80">
        <w:rPr>
          <w:rFonts w:ascii="Times New Roman" w:hAnsi="Times New Roman" w:cs="Times New Roman"/>
          <w:noProof/>
          <w:sz w:val="24"/>
          <w:szCs w:val="24"/>
          <w:lang w:eastAsia="es-ES"/>
        </w:rPr>
        <w:drawing>
          <wp:inline distT="0" distB="0" distL="0" distR="0">
            <wp:extent cx="5248275" cy="8258175"/>
            <wp:effectExtent l="0" t="0" r="0" b="0"/>
            <wp:docPr id="22" name="Gráfico 7"/>
            <wp:cNvGraphicFramePr/>
            <a:graphic xmlns:a="http://schemas.openxmlformats.org/drawingml/2006/main">
              <a:graphicData uri="http://schemas.openxmlformats.org/drawingml/2006/chart">
                <c:chart xmlns:c="http://schemas.openxmlformats.org/drawingml/2006/chart" xmlns:r="http://schemas.openxmlformats.org/officeDocument/2006/relationships" r:id="rId24"/>
              </a:graphicData>
            </a:graphic>
          </wp:inline>
        </w:drawing>
      </w:r>
    </w:p>
    <w:p w:rsidR="0001674C" w:rsidRPr="006D4667" w:rsidRDefault="0001674C" w:rsidP="0001674C">
      <w:pPr>
        <w:jc w:val="both"/>
        <w:rPr>
          <w:rFonts w:ascii="Times New Roman" w:hAnsi="Times New Roman" w:cs="Times New Roman"/>
          <w:sz w:val="24"/>
          <w:szCs w:val="24"/>
        </w:rPr>
      </w:pPr>
      <w:r w:rsidRPr="006D4667">
        <w:rPr>
          <w:rFonts w:ascii="Times New Roman" w:hAnsi="Times New Roman" w:cs="Times New Roman"/>
          <w:sz w:val="24"/>
          <w:szCs w:val="24"/>
        </w:rPr>
        <w:t>Fuente: Elaboración propia a partir de los datos extraídos del CREM.</w:t>
      </w:r>
    </w:p>
    <w:p w:rsidR="00EA6CB9" w:rsidRPr="0053525F" w:rsidRDefault="008F4B60" w:rsidP="0053525F">
      <w:pPr>
        <w:ind w:firstLine="284"/>
        <w:jc w:val="both"/>
        <w:rPr>
          <w:rFonts w:ascii="Times New Roman" w:hAnsi="Times New Roman" w:cs="Times New Roman"/>
          <w:b/>
          <w:sz w:val="24"/>
          <w:szCs w:val="24"/>
        </w:rPr>
      </w:pPr>
      <w:r w:rsidRPr="0053525F">
        <w:rPr>
          <w:rFonts w:ascii="Times New Roman" w:hAnsi="Times New Roman" w:cs="Times New Roman"/>
          <w:b/>
          <w:sz w:val="24"/>
          <w:szCs w:val="24"/>
        </w:rPr>
        <w:lastRenderedPageBreak/>
        <w:t>5.</w:t>
      </w:r>
      <w:r w:rsidRPr="0053525F">
        <w:rPr>
          <w:rFonts w:ascii="Arial" w:hAnsi="Arial" w:cs="Arial"/>
          <w:b/>
        </w:rPr>
        <w:t xml:space="preserve"> </w:t>
      </w:r>
      <w:r w:rsidRPr="0053525F">
        <w:rPr>
          <w:rFonts w:ascii="Times New Roman" w:hAnsi="Times New Roman" w:cs="Times New Roman"/>
          <w:b/>
          <w:sz w:val="24"/>
          <w:szCs w:val="24"/>
        </w:rPr>
        <w:t>CONSIDERACIONES FINALES</w:t>
      </w:r>
      <w:bookmarkEnd w:id="19"/>
    </w:p>
    <w:p w:rsidR="00EA6CB9" w:rsidRPr="0053525F" w:rsidRDefault="00EA6CB9" w:rsidP="0053525F">
      <w:pPr>
        <w:spacing w:line="360" w:lineRule="auto"/>
        <w:ind w:firstLine="284"/>
        <w:jc w:val="both"/>
        <w:rPr>
          <w:rFonts w:ascii="Times New Roman" w:hAnsi="Times New Roman" w:cs="Times New Roman"/>
          <w:sz w:val="24"/>
          <w:szCs w:val="24"/>
        </w:rPr>
      </w:pPr>
    </w:p>
    <w:p w:rsidR="0053525F" w:rsidRDefault="002419B8" w:rsidP="0053525F">
      <w:pPr>
        <w:spacing w:line="360" w:lineRule="auto"/>
        <w:ind w:firstLine="284"/>
        <w:jc w:val="both"/>
        <w:rPr>
          <w:rFonts w:ascii="Times New Roman" w:hAnsi="Times New Roman" w:cs="Times New Roman"/>
          <w:sz w:val="24"/>
          <w:szCs w:val="24"/>
        </w:rPr>
      </w:pPr>
      <w:r w:rsidRPr="0053525F">
        <w:rPr>
          <w:rFonts w:ascii="Times New Roman" w:hAnsi="Times New Roman" w:cs="Times New Roman"/>
          <w:sz w:val="24"/>
          <w:szCs w:val="24"/>
        </w:rPr>
        <w:t>La reducción de la tasa de natalidad y el incremento de la esperanza de vida provocará a largo plazo un progresivo envejecimiento de la población</w:t>
      </w:r>
      <w:r w:rsidR="00596B44" w:rsidRPr="0053525F">
        <w:rPr>
          <w:rFonts w:ascii="Times New Roman" w:hAnsi="Times New Roman" w:cs="Times New Roman"/>
          <w:sz w:val="24"/>
          <w:szCs w:val="24"/>
        </w:rPr>
        <w:t xml:space="preserve"> en la Región de Murcia</w:t>
      </w:r>
      <w:r w:rsidRPr="0053525F">
        <w:rPr>
          <w:rFonts w:ascii="Times New Roman" w:hAnsi="Times New Roman" w:cs="Times New Roman"/>
          <w:sz w:val="24"/>
          <w:szCs w:val="24"/>
        </w:rPr>
        <w:t xml:space="preserve">, que se manifestará en un descenso ininterrumpido de la población en edad de trabajar y en un aumento continuado de la proporción de población de más de 65 años. Todo el sistema productivo se verá marcado por el devenir demográfico. Menores activos deberán ocuparse de mayores cohortes de población envejecida, en aumento constante. Asimismo, cuando las generaciones del </w:t>
      </w:r>
      <w:r w:rsidRPr="0053525F">
        <w:rPr>
          <w:rFonts w:ascii="Times New Roman" w:hAnsi="Times New Roman" w:cs="Times New Roman"/>
          <w:i/>
          <w:sz w:val="24"/>
          <w:szCs w:val="24"/>
        </w:rPr>
        <w:t>baby boom</w:t>
      </w:r>
      <w:r w:rsidRPr="0053525F">
        <w:rPr>
          <w:rFonts w:ascii="Times New Roman" w:hAnsi="Times New Roman" w:cs="Times New Roman"/>
          <w:sz w:val="24"/>
          <w:szCs w:val="24"/>
        </w:rPr>
        <w:t xml:space="preserve"> se jubilen </w:t>
      </w:r>
      <w:r w:rsidR="00596B44" w:rsidRPr="0053525F">
        <w:rPr>
          <w:rFonts w:ascii="Times New Roman" w:hAnsi="Times New Roman" w:cs="Times New Roman"/>
          <w:sz w:val="24"/>
          <w:szCs w:val="24"/>
        </w:rPr>
        <w:t>(</w:t>
      </w:r>
      <w:r w:rsidRPr="0053525F">
        <w:rPr>
          <w:rFonts w:ascii="Times New Roman" w:hAnsi="Times New Roman" w:cs="Times New Roman"/>
          <w:sz w:val="24"/>
          <w:szCs w:val="24"/>
        </w:rPr>
        <w:t>sobre el año 2020</w:t>
      </w:r>
      <w:r w:rsidR="00596B44" w:rsidRPr="0053525F">
        <w:rPr>
          <w:rFonts w:ascii="Times New Roman" w:hAnsi="Times New Roman" w:cs="Times New Roman"/>
          <w:sz w:val="24"/>
          <w:szCs w:val="24"/>
        </w:rPr>
        <w:t>),</w:t>
      </w:r>
      <w:r w:rsidRPr="0053525F">
        <w:rPr>
          <w:rFonts w:ascii="Times New Roman" w:hAnsi="Times New Roman" w:cs="Times New Roman"/>
          <w:sz w:val="24"/>
          <w:szCs w:val="24"/>
        </w:rPr>
        <w:t xml:space="preserve"> las consecuencias se agravarán, aumentándose la tasa de dependencia.</w:t>
      </w:r>
    </w:p>
    <w:p w:rsidR="004C1968" w:rsidRDefault="002419B8" w:rsidP="004C1968">
      <w:pPr>
        <w:spacing w:line="360" w:lineRule="auto"/>
        <w:ind w:firstLine="284"/>
        <w:jc w:val="both"/>
        <w:rPr>
          <w:rFonts w:ascii="Times New Roman" w:hAnsi="Times New Roman" w:cs="Times New Roman"/>
          <w:sz w:val="24"/>
          <w:szCs w:val="24"/>
        </w:rPr>
      </w:pPr>
      <w:r w:rsidRPr="0053525F">
        <w:rPr>
          <w:rFonts w:ascii="Times New Roman" w:hAnsi="Times New Roman" w:cs="Times New Roman"/>
          <w:sz w:val="24"/>
          <w:szCs w:val="24"/>
        </w:rPr>
        <w:t>El incremento de la tasa de natalidad o la inmigración podría atenuar la tendencia al envejecimiento, pero no modificar sustancialmente la evolución de la tasa de dependencia. Sin embargo, ante la realidad de la crisis económica</w:t>
      </w:r>
      <w:r w:rsidR="00120F37" w:rsidRPr="0053525F">
        <w:rPr>
          <w:rFonts w:ascii="Times New Roman" w:hAnsi="Times New Roman" w:cs="Times New Roman"/>
          <w:sz w:val="24"/>
          <w:szCs w:val="24"/>
        </w:rPr>
        <w:t>,</w:t>
      </w:r>
      <w:r w:rsidRPr="0053525F">
        <w:rPr>
          <w:rFonts w:ascii="Times New Roman" w:hAnsi="Times New Roman" w:cs="Times New Roman"/>
          <w:sz w:val="24"/>
          <w:szCs w:val="24"/>
        </w:rPr>
        <w:t xml:space="preserve"> parece muy poco probable que estos suc</w:t>
      </w:r>
      <w:r w:rsidR="00120F37" w:rsidRPr="0053525F">
        <w:rPr>
          <w:rFonts w:ascii="Times New Roman" w:hAnsi="Times New Roman" w:cs="Times New Roman"/>
          <w:sz w:val="24"/>
          <w:szCs w:val="24"/>
        </w:rPr>
        <w:t>esos tengan lugar, ya que no existen actualmente</w:t>
      </w:r>
      <w:r w:rsidRPr="0053525F">
        <w:rPr>
          <w:rFonts w:ascii="Times New Roman" w:hAnsi="Times New Roman" w:cs="Times New Roman"/>
          <w:sz w:val="24"/>
          <w:szCs w:val="24"/>
        </w:rPr>
        <w:t xml:space="preserve"> políticas para incentivar la natalidad y la inmigración. </w:t>
      </w:r>
      <w:r w:rsidR="00120F37" w:rsidRPr="0053525F">
        <w:rPr>
          <w:rFonts w:ascii="Times New Roman" w:hAnsi="Times New Roman" w:cs="Times New Roman"/>
          <w:sz w:val="24"/>
          <w:szCs w:val="24"/>
        </w:rPr>
        <w:t>En este momento</w:t>
      </w:r>
      <w:r w:rsidRPr="0053525F">
        <w:rPr>
          <w:rFonts w:ascii="Times New Roman" w:hAnsi="Times New Roman" w:cs="Times New Roman"/>
          <w:sz w:val="24"/>
          <w:szCs w:val="24"/>
        </w:rPr>
        <w:t xml:space="preserve">, España no es un país que se vea como una oportunidad para mejorar el nivel de vida, incluso está teniendo lugar un </w:t>
      </w:r>
      <w:r w:rsidR="00120F37" w:rsidRPr="0053525F">
        <w:rPr>
          <w:rFonts w:ascii="Times New Roman" w:hAnsi="Times New Roman" w:cs="Times New Roman"/>
          <w:sz w:val="24"/>
          <w:szCs w:val="24"/>
        </w:rPr>
        <w:t>considerable</w:t>
      </w:r>
      <w:r w:rsidRPr="0053525F">
        <w:rPr>
          <w:rFonts w:ascii="Times New Roman" w:hAnsi="Times New Roman" w:cs="Times New Roman"/>
          <w:sz w:val="24"/>
          <w:szCs w:val="24"/>
        </w:rPr>
        <w:t xml:space="preserve"> proceso de emigración al extranjero.</w:t>
      </w:r>
    </w:p>
    <w:p w:rsidR="004C1968" w:rsidRDefault="00095AB7" w:rsidP="004C1968">
      <w:pPr>
        <w:spacing w:line="360" w:lineRule="auto"/>
        <w:ind w:firstLine="284"/>
        <w:jc w:val="both"/>
        <w:rPr>
          <w:rFonts w:ascii="Times New Roman" w:hAnsi="Times New Roman" w:cs="Times New Roman"/>
          <w:sz w:val="24"/>
          <w:szCs w:val="24"/>
        </w:rPr>
      </w:pPr>
      <w:r w:rsidRPr="0053525F">
        <w:rPr>
          <w:rFonts w:ascii="Times New Roman" w:hAnsi="Times New Roman" w:cs="Times New Roman"/>
          <w:sz w:val="24"/>
          <w:szCs w:val="24"/>
        </w:rPr>
        <w:t xml:space="preserve">La evolución de la fecundidad se vería condicionada por la mayor facilidad de acceso de los jóvenes al mercado laboral, que podría adelantar su emancipación y la edad del matrimonio, por la existencia de políticas efectivas de conciliación de la vida laboral y familiar y apoyo a las familias, como facilidades para acceder a la vivienda, empleo estable para los jóvenes y guarderías a precios asequibles, así como también por la igualdad en el desempeño de las tareas domésticas y familiares. </w:t>
      </w:r>
    </w:p>
    <w:p w:rsidR="004C1968" w:rsidRDefault="00095AB7" w:rsidP="004C1968">
      <w:pPr>
        <w:spacing w:line="360" w:lineRule="auto"/>
        <w:ind w:firstLine="284"/>
        <w:jc w:val="both"/>
        <w:rPr>
          <w:rFonts w:ascii="Times New Roman" w:hAnsi="Times New Roman" w:cs="Times New Roman"/>
          <w:sz w:val="24"/>
          <w:szCs w:val="24"/>
        </w:rPr>
      </w:pPr>
      <w:r w:rsidRPr="0053525F">
        <w:rPr>
          <w:rFonts w:ascii="Times New Roman" w:hAnsi="Times New Roman" w:cs="Times New Roman"/>
          <w:sz w:val="24"/>
          <w:szCs w:val="24"/>
        </w:rPr>
        <w:t xml:space="preserve">En cuanto a la inmigración, si no se modifican pronto las circunstancias económicas y productivas, es probable que aumente su ritmo de salidas al exterior, así como que no lleguen en cantidades copiosas a este país. </w:t>
      </w:r>
    </w:p>
    <w:p w:rsidR="004C1968" w:rsidRDefault="002419B8" w:rsidP="004C1968">
      <w:pPr>
        <w:spacing w:line="360" w:lineRule="auto"/>
        <w:ind w:firstLine="284"/>
        <w:jc w:val="both"/>
        <w:rPr>
          <w:rFonts w:ascii="Times New Roman" w:hAnsi="Times New Roman" w:cs="Times New Roman"/>
          <w:sz w:val="24"/>
          <w:szCs w:val="24"/>
        </w:rPr>
      </w:pPr>
      <w:r w:rsidRPr="0053525F">
        <w:rPr>
          <w:rFonts w:ascii="Times New Roman" w:hAnsi="Times New Roman" w:cs="Times New Roman"/>
          <w:sz w:val="24"/>
          <w:szCs w:val="24"/>
        </w:rPr>
        <w:t>De este modo, si no se ponen en marcha políticas adecuadas para mejorar la situación actual de dependencia y recesión económica, el Estado del Bienestar puede verse comprometido en su mantenimiento y su continuidad será más difícil con una estructura demográfica envejecida</w:t>
      </w:r>
      <w:r w:rsidR="0097285D">
        <w:rPr>
          <w:rFonts w:ascii="Times New Roman" w:hAnsi="Times New Roman" w:cs="Times New Roman"/>
          <w:sz w:val="24"/>
          <w:szCs w:val="24"/>
        </w:rPr>
        <w:t xml:space="preserve"> </w:t>
      </w:r>
      <w:commentRangeStart w:id="21"/>
      <w:r w:rsidR="0097285D">
        <w:rPr>
          <w:rFonts w:ascii="Times New Roman" w:hAnsi="Times New Roman" w:cs="Times New Roman"/>
          <w:sz w:val="24"/>
          <w:szCs w:val="24"/>
        </w:rPr>
        <w:t>(UNITED NATIONS, 2014)</w:t>
      </w:r>
      <w:r w:rsidRPr="0053525F">
        <w:rPr>
          <w:rFonts w:ascii="Times New Roman" w:hAnsi="Times New Roman" w:cs="Times New Roman"/>
          <w:sz w:val="24"/>
          <w:szCs w:val="24"/>
        </w:rPr>
        <w:t xml:space="preserve">. </w:t>
      </w:r>
      <w:commentRangeEnd w:id="21"/>
      <w:r w:rsidR="0097285D">
        <w:rPr>
          <w:rStyle w:val="Refdecomentario"/>
        </w:rPr>
        <w:commentReference w:id="21"/>
      </w:r>
      <w:r w:rsidRPr="0053525F">
        <w:rPr>
          <w:rFonts w:ascii="Times New Roman" w:hAnsi="Times New Roman" w:cs="Times New Roman"/>
          <w:sz w:val="24"/>
          <w:szCs w:val="24"/>
        </w:rPr>
        <w:t>La finalidad de estas reformas debe ser clara y decidida, pues es una certeza que en los próximos años se atenderá a un número mucho mayor de jubilados y no está suficientemente claro que se produzca un aumento proporcional en el número de afiliados</w:t>
      </w:r>
      <w:r w:rsidR="00095AB7" w:rsidRPr="0053525F">
        <w:rPr>
          <w:rFonts w:ascii="Times New Roman" w:hAnsi="Times New Roman" w:cs="Times New Roman"/>
          <w:sz w:val="24"/>
          <w:szCs w:val="24"/>
        </w:rPr>
        <w:t xml:space="preserve"> a la Seguridad Social</w:t>
      </w:r>
      <w:r w:rsidRPr="0053525F">
        <w:rPr>
          <w:rFonts w:ascii="Times New Roman" w:hAnsi="Times New Roman" w:cs="Times New Roman"/>
          <w:sz w:val="24"/>
          <w:szCs w:val="24"/>
        </w:rPr>
        <w:t xml:space="preserve"> (</w:t>
      </w:r>
      <w:r w:rsidR="00077DD7" w:rsidRPr="0053525F">
        <w:rPr>
          <w:rFonts w:ascii="Times New Roman" w:hAnsi="Times New Roman" w:cs="Times New Roman"/>
          <w:sz w:val="24"/>
          <w:szCs w:val="24"/>
        </w:rPr>
        <w:t xml:space="preserve">BELMONTE </w:t>
      </w:r>
      <w:r w:rsidRPr="0053525F">
        <w:rPr>
          <w:rFonts w:ascii="Times New Roman" w:hAnsi="Times New Roman" w:cs="Times New Roman"/>
          <w:i/>
          <w:sz w:val="24"/>
          <w:szCs w:val="24"/>
        </w:rPr>
        <w:t>et al</w:t>
      </w:r>
      <w:r w:rsidRPr="0053525F">
        <w:rPr>
          <w:rFonts w:ascii="Times New Roman" w:hAnsi="Times New Roman" w:cs="Times New Roman"/>
          <w:sz w:val="24"/>
          <w:szCs w:val="24"/>
        </w:rPr>
        <w:t>., 2009).</w:t>
      </w:r>
    </w:p>
    <w:p w:rsidR="004C1968" w:rsidRDefault="002419B8" w:rsidP="004C1968">
      <w:pPr>
        <w:spacing w:line="360" w:lineRule="auto"/>
        <w:ind w:firstLine="284"/>
        <w:jc w:val="both"/>
        <w:rPr>
          <w:rFonts w:ascii="Times New Roman" w:hAnsi="Times New Roman" w:cs="Times New Roman"/>
          <w:sz w:val="24"/>
          <w:szCs w:val="24"/>
        </w:rPr>
      </w:pPr>
      <w:r w:rsidRPr="0053525F">
        <w:rPr>
          <w:rFonts w:ascii="Times New Roman" w:hAnsi="Times New Roman" w:cs="Times New Roman"/>
          <w:sz w:val="24"/>
          <w:szCs w:val="24"/>
        </w:rPr>
        <w:lastRenderedPageBreak/>
        <w:t>Las tasas de natalidad actuales son difíciles de aumentar, más a</w:t>
      </w:r>
      <w:r w:rsidR="0053525F">
        <w:rPr>
          <w:rFonts w:ascii="Times New Roman" w:hAnsi="Times New Roman" w:cs="Times New Roman"/>
          <w:sz w:val="24"/>
          <w:szCs w:val="24"/>
        </w:rPr>
        <w:t>ú</w:t>
      </w:r>
      <w:r w:rsidRPr="0053525F">
        <w:rPr>
          <w:rFonts w:ascii="Times New Roman" w:hAnsi="Times New Roman" w:cs="Times New Roman"/>
          <w:sz w:val="24"/>
          <w:szCs w:val="24"/>
        </w:rPr>
        <w:t>n en el panorama de crisis económica grave que se presenta en la actualidad. Pero es un error pensar que no resulta viable realizar políticas sociales para impulsar la natalidad cuando es el pilar básico de toda sociedad para poder mantener el sistema de la Seguridad Social. Por ello, en la Región de Murcia, y en general en España, se debería empezar a considerar la puesta en práctica de políticas natalistas si no se quiere llegar a unos niveles mayores de envejecimiento. De este modo</w:t>
      </w:r>
      <w:r w:rsidR="00095AB7" w:rsidRPr="0053525F">
        <w:rPr>
          <w:rFonts w:ascii="Times New Roman" w:hAnsi="Times New Roman" w:cs="Times New Roman"/>
          <w:sz w:val="24"/>
          <w:szCs w:val="24"/>
        </w:rPr>
        <w:t>,</w:t>
      </w:r>
      <w:r w:rsidRPr="0053525F">
        <w:rPr>
          <w:rFonts w:ascii="Times New Roman" w:hAnsi="Times New Roman" w:cs="Times New Roman"/>
          <w:sz w:val="24"/>
          <w:szCs w:val="24"/>
        </w:rPr>
        <w:t xml:space="preserve"> la tasa de fecundidad aumentaría, con lo que se conseguiría diluir el peso de la tercera edad, a la vez que se limitaría la dependencia de la inmigración como vía para mantener el crecimiento poblacional.</w:t>
      </w:r>
    </w:p>
    <w:p w:rsidR="004C1968" w:rsidRDefault="002419B8" w:rsidP="004C1968">
      <w:pPr>
        <w:spacing w:line="360" w:lineRule="auto"/>
        <w:ind w:firstLine="284"/>
        <w:jc w:val="both"/>
        <w:rPr>
          <w:rFonts w:ascii="Times New Roman" w:hAnsi="Times New Roman" w:cs="Times New Roman"/>
          <w:sz w:val="24"/>
          <w:szCs w:val="24"/>
        </w:rPr>
      </w:pPr>
      <w:r w:rsidRPr="0053525F">
        <w:rPr>
          <w:rFonts w:ascii="Times New Roman" w:hAnsi="Times New Roman" w:cs="Times New Roman"/>
          <w:sz w:val="24"/>
          <w:szCs w:val="24"/>
        </w:rPr>
        <w:t>Las consecuencias económicas que el envejecimiento general de la sociedad implica podrían ser solventadas si aumentara el número de cotizantes a la Seguridad Social. Se debe considerar el incremento del número de cotizantes mediante una mejora de las políticas de conciliación de la vida laboral y familiar de las mujeres, una regularización del empleo de los inmigrantes en situación de ilegalidad, el retraso de la edad de jubilación en algunos casos y el cambio en las contrataciones de los jóvenes y personas mayores, para así contrarrestar el descenso de la población en edad de trabajar.</w:t>
      </w:r>
    </w:p>
    <w:p w:rsidR="004C1968" w:rsidRDefault="002419B8" w:rsidP="004C1968">
      <w:pPr>
        <w:spacing w:line="360" w:lineRule="auto"/>
        <w:ind w:firstLine="284"/>
        <w:jc w:val="both"/>
        <w:rPr>
          <w:rFonts w:ascii="Times New Roman" w:hAnsi="Times New Roman" w:cs="Times New Roman"/>
          <w:sz w:val="24"/>
          <w:szCs w:val="24"/>
        </w:rPr>
      </w:pPr>
      <w:r w:rsidRPr="0053525F">
        <w:rPr>
          <w:rFonts w:ascii="Times New Roman" w:hAnsi="Times New Roman" w:cs="Times New Roman"/>
          <w:sz w:val="24"/>
          <w:szCs w:val="24"/>
        </w:rPr>
        <w:t>En cuanto a medidas de tipo económico, la maternidad no tendría que ser un obstáculo insalvable para poder ejercer una carrera profesional. Existen ayudas para el cuidado de hijos o de natalidad que podrían generalizarse en muchas empresas y serían un buen punto de apoyo. Atendiendo a las políticas sociales, se debería crear una concienciación en la sociedad en lo que se refiere a la valoración de constituir una familia y su posterior atención. Para ello es imprescindible una conciencia social en la que domine la racionalización de los horarios (</w:t>
      </w:r>
      <w:r w:rsidR="00077DD7" w:rsidRPr="0053525F">
        <w:rPr>
          <w:rFonts w:ascii="Times New Roman" w:hAnsi="Times New Roman" w:cs="Times New Roman"/>
          <w:sz w:val="24"/>
          <w:szCs w:val="24"/>
        </w:rPr>
        <w:t>CRESPO GARRIDO</w:t>
      </w:r>
      <w:r w:rsidRPr="0053525F">
        <w:rPr>
          <w:rFonts w:ascii="Times New Roman" w:hAnsi="Times New Roman" w:cs="Times New Roman"/>
          <w:sz w:val="24"/>
          <w:szCs w:val="24"/>
        </w:rPr>
        <w:t>, 2013). Asimismo</w:t>
      </w:r>
      <w:r w:rsidR="00095AB7" w:rsidRPr="0053525F">
        <w:rPr>
          <w:rFonts w:ascii="Times New Roman" w:hAnsi="Times New Roman" w:cs="Times New Roman"/>
          <w:sz w:val="24"/>
          <w:szCs w:val="24"/>
        </w:rPr>
        <w:t>,</w:t>
      </w:r>
      <w:r w:rsidRPr="0053525F">
        <w:rPr>
          <w:rFonts w:ascii="Times New Roman" w:hAnsi="Times New Roman" w:cs="Times New Roman"/>
          <w:sz w:val="24"/>
          <w:szCs w:val="24"/>
        </w:rPr>
        <w:t xml:space="preserve"> se debería reducir el periodo formativo de los jóvenes, evitar las responsabilidades familiares que las mujeres soportan por tradición, o limitar las prejubilaciones y el despido de los trabajadores de mayor edad (</w:t>
      </w:r>
      <w:r w:rsidR="00077DD7" w:rsidRPr="0053525F">
        <w:rPr>
          <w:rFonts w:ascii="Times New Roman" w:hAnsi="Times New Roman" w:cs="Times New Roman"/>
          <w:sz w:val="24"/>
          <w:szCs w:val="24"/>
        </w:rPr>
        <w:t>MUÑOZ DE BUSTILLO</w:t>
      </w:r>
      <w:r w:rsidRPr="0053525F">
        <w:rPr>
          <w:rFonts w:ascii="Times New Roman" w:hAnsi="Times New Roman" w:cs="Times New Roman"/>
          <w:sz w:val="24"/>
          <w:szCs w:val="24"/>
        </w:rPr>
        <w:t>, 2007).</w:t>
      </w:r>
    </w:p>
    <w:p w:rsidR="004C1968" w:rsidRDefault="002419B8" w:rsidP="004C1968">
      <w:pPr>
        <w:spacing w:line="360" w:lineRule="auto"/>
        <w:ind w:firstLine="284"/>
        <w:jc w:val="both"/>
        <w:rPr>
          <w:rFonts w:ascii="Times New Roman" w:hAnsi="Times New Roman" w:cs="Times New Roman"/>
          <w:sz w:val="24"/>
          <w:szCs w:val="24"/>
        </w:rPr>
      </w:pPr>
      <w:r w:rsidRPr="0053525F">
        <w:rPr>
          <w:rFonts w:ascii="Times New Roman" w:hAnsi="Times New Roman" w:cs="Times New Roman"/>
          <w:sz w:val="24"/>
          <w:szCs w:val="24"/>
        </w:rPr>
        <w:t xml:space="preserve">Si estas reformas no tienen lugar en los próximos años, la demografía se verá alterada a largo plazo y será menos probable una recuperación de la natalidad y fecundidad, con lo que habrá que hacer reformas estructurales </w:t>
      </w:r>
      <w:r w:rsidR="00095AB7" w:rsidRPr="0053525F">
        <w:rPr>
          <w:rFonts w:ascii="Times New Roman" w:hAnsi="Times New Roman" w:cs="Times New Roman"/>
          <w:sz w:val="24"/>
          <w:szCs w:val="24"/>
        </w:rPr>
        <w:t>en las políticas económicas y sociales</w:t>
      </w:r>
      <w:r w:rsidRPr="0053525F">
        <w:rPr>
          <w:rFonts w:ascii="Times New Roman" w:hAnsi="Times New Roman" w:cs="Times New Roman"/>
          <w:sz w:val="24"/>
          <w:szCs w:val="24"/>
        </w:rPr>
        <w:t xml:space="preserve"> para atender a las pensiones y se verán perjudicados otros ámbitos</w:t>
      </w:r>
      <w:r w:rsidR="00426777" w:rsidRPr="0053525F">
        <w:rPr>
          <w:rFonts w:ascii="Times New Roman" w:hAnsi="Times New Roman" w:cs="Times New Roman"/>
          <w:sz w:val="24"/>
          <w:szCs w:val="24"/>
        </w:rPr>
        <w:t xml:space="preserve"> (</w:t>
      </w:r>
      <w:r w:rsidR="00077DD7" w:rsidRPr="0053525F">
        <w:rPr>
          <w:rFonts w:ascii="Times New Roman" w:hAnsi="Times New Roman" w:cs="Times New Roman"/>
          <w:sz w:val="24"/>
          <w:szCs w:val="24"/>
        </w:rPr>
        <w:t>MACARRÓN</w:t>
      </w:r>
      <w:r w:rsidR="00426777" w:rsidRPr="0053525F">
        <w:rPr>
          <w:rFonts w:ascii="Times New Roman" w:hAnsi="Times New Roman" w:cs="Times New Roman"/>
          <w:sz w:val="24"/>
          <w:szCs w:val="24"/>
        </w:rPr>
        <w:t>, 2012).</w:t>
      </w:r>
    </w:p>
    <w:p w:rsidR="002419B8" w:rsidRPr="0053525F" w:rsidRDefault="002419B8" w:rsidP="004C1968">
      <w:pPr>
        <w:spacing w:line="360" w:lineRule="auto"/>
        <w:ind w:firstLine="284"/>
        <w:jc w:val="both"/>
        <w:rPr>
          <w:rFonts w:ascii="Times New Roman" w:hAnsi="Times New Roman" w:cs="Times New Roman"/>
          <w:b/>
          <w:sz w:val="24"/>
          <w:szCs w:val="24"/>
        </w:rPr>
      </w:pPr>
      <w:r w:rsidRPr="0053525F">
        <w:rPr>
          <w:rFonts w:ascii="Times New Roman" w:hAnsi="Times New Roman" w:cs="Times New Roman"/>
          <w:sz w:val="24"/>
          <w:szCs w:val="24"/>
        </w:rPr>
        <w:t xml:space="preserve">Si esta realidad continúa o se prolonga, quedará </w:t>
      </w:r>
      <w:r w:rsidR="005D67CC" w:rsidRPr="0053525F">
        <w:rPr>
          <w:rFonts w:ascii="Times New Roman" w:hAnsi="Times New Roman" w:cs="Times New Roman"/>
          <w:sz w:val="24"/>
          <w:szCs w:val="24"/>
        </w:rPr>
        <w:t xml:space="preserve">una </w:t>
      </w:r>
      <w:r w:rsidR="0053525F">
        <w:rPr>
          <w:rFonts w:ascii="Times New Roman" w:hAnsi="Times New Roman" w:cs="Times New Roman"/>
          <w:sz w:val="24"/>
          <w:szCs w:val="24"/>
        </w:rPr>
        <w:t>r</w:t>
      </w:r>
      <w:r w:rsidR="005D67CC" w:rsidRPr="0053525F">
        <w:rPr>
          <w:rFonts w:ascii="Times New Roman" w:hAnsi="Times New Roman" w:cs="Times New Roman"/>
          <w:sz w:val="24"/>
          <w:szCs w:val="24"/>
        </w:rPr>
        <w:t xml:space="preserve">egión y un </w:t>
      </w:r>
      <w:r w:rsidRPr="0053525F">
        <w:rPr>
          <w:rFonts w:ascii="Times New Roman" w:hAnsi="Times New Roman" w:cs="Times New Roman"/>
          <w:sz w:val="24"/>
          <w:szCs w:val="24"/>
        </w:rPr>
        <w:t>país</w:t>
      </w:r>
      <w:r w:rsidR="005D67CC" w:rsidRPr="0053525F">
        <w:rPr>
          <w:rFonts w:ascii="Times New Roman" w:hAnsi="Times New Roman" w:cs="Times New Roman"/>
          <w:sz w:val="24"/>
          <w:szCs w:val="24"/>
        </w:rPr>
        <w:t xml:space="preserve"> en general</w:t>
      </w:r>
      <w:r w:rsidRPr="0053525F">
        <w:rPr>
          <w:rFonts w:ascii="Times New Roman" w:hAnsi="Times New Roman" w:cs="Times New Roman"/>
          <w:sz w:val="24"/>
          <w:szCs w:val="24"/>
        </w:rPr>
        <w:t xml:space="preserve"> con un crecimiento vegetativo mínimo, con un envejecimiento y una tasa de dependencia en continuo aumento y una población con un saldo migratorio negativo. En un futuro </w:t>
      </w:r>
      <w:r w:rsidRPr="0053525F">
        <w:rPr>
          <w:rFonts w:ascii="Times New Roman" w:hAnsi="Times New Roman" w:cs="Times New Roman"/>
          <w:sz w:val="24"/>
          <w:szCs w:val="24"/>
        </w:rPr>
        <w:lastRenderedPageBreak/>
        <w:t xml:space="preserve">próximo, estos aspectos señalados podrían generar una regresión demográfica profunda, </w:t>
      </w:r>
      <w:r w:rsidR="0053525F">
        <w:rPr>
          <w:rFonts w:ascii="Times New Roman" w:hAnsi="Times New Roman" w:cs="Times New Roman"/>
          <w:sz w:val="24"/>
          <w:szCs w:val="24"/>
        </w:rPr>
        <w:t>que originaría</w:t>
      </w:r>
      <w:r w:rsidRPr="0053525F">
        <w:rPr>
          <w:rFonts w:ascii="Times New Roman" w:hAnsi="Times New Roman" w:cs="Times New Roman"/>
          <w:sz w:val="24"/>
          <w:szCs w:val="24"/>
        </w:rPr>
        <w:t xml:space="preserve"> de forma inevitable reformas comprometidas en cuanto al sistema de la Seguridad Social para poder atender las necesidades básicas de la población y poder mantener, si se puede, el Estado del Bienestar.</w:t>
      </w:r>
    </w:p>
    <w:p w:rsidR="002419B8" w:rsidRPr="002419B8" w:rsidRDefault="002419B8" w:rsidP="0053525F">
      <w:pPr>
        <w:ind w:firstLine="284"/>
        <w:jc w:val="both"/>
        <w:rPr>
          <w:rFonts w:ascii="Times New Roman" w:hAnsi="Times New Roman" w:cs="Times New Roman"/>
          <w:sz w:val="24"/>
          <w:szCs w:val="24"/>
        </w:rPr>
      </w:pPr>
    </w:p>
    <w:p w:rsidR="007B07C5" w:rsidRDefault="004064BD" w:rsidP="00C74E2A">
      <w:pPr>
        <w:jc w:val="both"/>
        <w:rPr>
          <w:rFonts w:ascii="Times New Roman" w:hAnsi="Times New Roman" w:cs="Times New Roman"/>
          <w:sz w:val="24"/>
          <w:szCs w:val="24"/>
        </w:rPr>
      </w:pPr>
      <w:commentRangeStart w:id="22"/>
      <w:r>
        <w:rPr>
          <w:rFonts w:ascii="Times New Roman" w:hAnsi="Times New Roman" w:cs="Times New Roman"/>
          <w:b/>
          <w:sz w:val="24"/>
          <w:szCs w:val="24"/>
        </w:rPr>
        <w:t xml:space="preserve">6. </w:t>
      </w:r>
      <w:r w:rsidR="008F4B60" w:rsidRPr="00373299">
        <w:rPr>
          <w:rFonts w:ascii="Times New Roman" w:hAnsi="Times New Roman" w:cs="Times New Roman"/>
          <w:b/>
          <w:sz w:val="24"/>
          <w:szCs w:val="24"/>
        </w:rPr>
        <w:t>BIBLIOGRAFÍA</w:t>
      </w:r>
      <w:commentRangeEnd w:id="22"/>
      <w:r w:rsidR="00914739">
        <w:rPr>
          <w:rStyle w:val="Refdecomentario"/>
        </w:rPr>
        <w:commentReference w:id="22"/>
      </w:r>
    </w:p>
    <w:p w:rsidR="00643985" w:rsidRDefault="00643985" w:rsidP="00C74E2A">
      <w:pPr>
        <w:jc w:val="both"/>
        <w:rPr>
          <w:rFonts w:ascii="Times New Roman" w:hAnsi="Times New Roman" w:cs="Times New Roman"/>
          <w:sz w:val="24"/>
          <w:szCs w:val="24"/>
        </w:rPr>
      </w:pPr>
    </w:p>
    <w:p w:rsidR="003B3023" w:rsidRPr="00B27930" w:rsidRDefault="005744CA" w:rsidP="00C74E2A">
      <w:pPr>
        <w:spacing w:line="360" w:lineRule="auto"/>
        <w:ind w:left="567" w:hanging="567"/>
        <w:jc w:val="both"/>
        <w:rPr>
          <w:rFonts w:ascii="Times New Roman" w:hAnsi="Times New Roman" w:cs="Times New Roman"/>
          <w:sz w:val="24"/>
        </w:rPr>
      </w:pPr>
      <w:r>
        <w:rPr>
          <w:rFonts w:ascii="Times New Roman" w:hAnsi="Times New Roman" w:cs="Times New Roman"/>
          <w:sz w:val="24"/>
        </w:rPr>
        <w:t>ALBA MONTESERÍN, S.;</w:t>
      </w:r>
      <w:r w:rsidR="003B3023" w:rsidRPr="00B27930">
        <w:rPr>
          <w:rFonts w:ascii="Times New Roman" w:hAnsi="Times New Roman" w:cs="Times New Roman"/>
          <w:sz w:val="24"/>
        </w:rPr>
        <w:t xml:space="preserve"> FERNÁNDEZ ASPERILLA, A.I. y MARTÍNEZ VEGA, U. (2013): </w:t>
      </w:r>
      <w:r w:rsidR="005236E6" w:rsidRPr="00B27930">
        <w:rPr>
          <w:rFonts w:ascii="Times New Roman" w:hAnsi="Times New Roman" w:cs="Times New Roman"/>
          <w:i/>
          <w:sz w:val="24"/>
        </w:rPr>
        <w:t>Estudios de la Fundación</w:t>
      </w:r>
      <w:r w:rsidR="005236E6">
        <w:rPr>
          <w:rFonts w:ascii="Times New Roman" w:hAnsi="Times New Roman" w:cs="Times New Roman"/>
          <w:i/>
          <w:sz w:val="24"/>
        </w:rPr>
        <w:t>.</w:t>
      </w:r>
      <w:r w:rsidR="005236E6" w:rsidRPr="00667DCD">
        <w:rPr>
          <w:rFonts w:ascii="Times New Roman" w:hAnsi="Times New Roman" w:cs="Times New Roman"/>
          <w:sz w:val="24"/>
        </w:rPr>
        <w:t xml:space="preserve"> </w:t>
      </w:r>
      <w:r w:rsidR="003B3023" w:rsidRPr="00667DCD">
        <w:rPr>
          <w:rFonts w:ascii="Times New Roman" w:hAnsi="Times New Roman" w:cs="Times New Roman"/>
          <w:sz w:val="24"/>
        </w:rPr>
        <w:t>«</w:t>
      </w:r>
      <w:r w:rsidR="003B3023" w:rsidRPr="00B27930">
        <w:rPr>
          <w:rFonts w:ascii="Times New Roman" w:hAnsi="Times New Roman" w:cs="Times New Roman"/>
          <w:sz w:val="24"/>
        </w:rPr>
        <w:t>Crisis económica y nuevo panorama migratorio español</w:t>
      </w:r>
      <w:r w:rsidR="003B3023" w:rsidRPr="00667DCD">
        <w:rPr>
          <w:rFonts w:ascii="Times New Roman" w:hAnsi="Times New Roman" w:cs="Times New Roman"/>
          <w:sz w:val="24"/>
        </w:rPr>
        <w:t>»</w:t>
      </w:r>
      <w:r w:rsidR="003B3023" w:rsidRPr="00B27930">
        <w:rPr>
          <w:rFonts w:ascii="Times New Roman" w:hAnsi="Times New Roman" w:cs="Times New Roman"/>
          <w:sz w:val="24"/>
        </w:rPr>
        <w:t>. 65</w:t>
      </w:r>
      <w:r w:rsidR="003B3023">
        <w:rPr>
          <w:rFonts w:ascii="Times New Roman" w:hAnsi="Times New Roman" w:cs="Times New Roman"/>
          <w:sz w:val="24"/>
        </w:rPr>
        <w:t>,</w:t>
      </w:r>
      <w:r w:rsidR="003B3023" w:rsidRPr="00B27930">
        <w:rPr>
          <w:rFonts w:ascii="Times New Roman" w:hAnsi="Times New Roman" w:cs="Times New Roman"/>
          <w:sz w:val="24"/>
        </w:rPr>
        <w:t xml:space="preserve"> 58 p</w:t>
      </w:r>
      <w:r w:rsidR="005236E6">
        <w:rPr>
          <w:rFonts w:ascii="Times New Roman" w:hAnsi="Times New Roman" w:cs="Times New Roman"/>
          <w:sz w:val="24"/>
        </w:rPr>
        <w:t>p</w:t>
      </w:r>
      <w:r w:rsidR="003B3023" w:rsidRPr="00B27930">
        <w:rPr>
          <w:rFonts w:ascii="Times New Roman" w:hAnsi="Times New Roman" w:cs="Times New Roman"/>
          <w:sz w:val="24"/>
        </w:rPr>
        <w:t>.</w:t>
      </w:r>
    </w:p>
    <w:p w:rsidR="003B3023" w:rsidRPr="007D02BA" w:rsidRDefault="003B3023" w:rsidP="00C74E2A">
      <w:pPr>
        <w:spacing w:line="360" w:lineRule="auto"/>
        <w:ind w:left="567" w:hanging="567"/>
        <w:jc w:val="both"/>
        <w:rPr>
          <w:rFonts w:ascii="Times New Roman" w:hAnsi="Times New Roman" w:cs="Times New Roman"/>
          <w:sz w:val="24"/>
        </w:rPr>
      </w:pPr>
      <w:r w:rsidRPr="00B47AED">
        <w:rPr>
          <w:rFonts w:ascii="Times New Roman" w:hAnsi="Times New Roman" w:cs="Times New Roman"/>
          <w:sz w:val="24"/>
        </w:rPr>
        <w:t xml:space="preserve">ALONSO MESEGUER, J. y CONDE-RUIZ, J.I. (2007): </w:t>
      </w:r>
      <w:r w:rsidR="00337DB4" w:rsidRPr="00B47AED">
        <w:rPr>
          <w:rFonts w:ascii="Times New Roman" w:hAnsi="Times New Roman" w:cs="Times New Roman"/>
          <w:i/>
          <w:sz w:val="24"/>
        </w:rPr>
        <w:t>Información Comercial Española</w:t>
      </w:r>
      <w:r w:rsidR="00337DB4">
        <w:rPr>
          <w:rFonts w:ascii="Times New Roman" w:hAnsi="Times New Roman" w:cs="Times New Roman"/>
          <w:i/>
          <w:sz w:val="24"/>
        </w:rPr>
        <w:t>.</w:t>
      </w:r>
      <w:r w:rsidR="00337DB4" w:rsidRPr="00B47AED">
        <w:rPr>
          <w:rFonts w:ascii="Times New Roman" w:hAnsi="Times New Roman" w:cs="Times New Roman"/>
          <w:sz w:val="24"/>
        </w:rPr>
        <w:t xml:space="preserve"> </w:t>
      </w:r>
      <w:r w:rsidRPr="00B47AED">
        <w:rPr>
          <w:rFonts w:ascii="Times New Roman" w:hAnsi="Times New Roman" w:cs="Times New Roman"/>
          <w:sz w:val="24"/>
        </w:rPr>
        <w:t xml:space="preserve">«Reforma de las pensiones: la experiencia internacional». </w:t>
      </w:r>
      <w:r w:rsidRPr="007D02BA">
        <w:rPr>
          <w:rFonts w:ascii="Times New Roman" w:hAnsi="Times New Roman" w:cs="Times New Roman"/>
          <w:sz w:val="24"/>
        </w:rPr>
        <w:t>837, pp. 179-193.</w:t>
      </w:r>
    </w:p>
    <w:p w:rsidR="003B3023" w:rsidRPr="00B27930" w:rsidRDefault="003B3023" w:rsidP="00C74E2A">
      <w:pPr>
        <w:spacing w:line="360" w:lineRule="auto"/>
        <w:ind w:left="567" w:hanging="567"/>
        <w:jc w:val="both"/>
        <w:rPr>
          <w:rFonts w:ascii="Times New Roman" w:hAnsi="Times New Roman" w:cs="Times New Roman"/>
          <w:sz w:val="24"/>
        </w:rPr>
      </w:pPr>
      <w:r w:rsidRPr="007D02BA">
        <w:rPr>
          <w:rFonts w:ascii="Times New Roman" w:hAnsi="Times New Roman" w:cs="Times New Roman"/>
          <w:sz w:val="24"/>
        </w:rPr>
        <w:t xml:space="preserve">BELMONTE, L.J.; CORRALES, A.J. y RUIZ, J. (2009): </w:t>
      </w:r>
      <w:r w:rsidR="005744CA" w:rsidRPr="007D02BA">
        <w:rPr>
          <w:rFonts w:ascii="Times New Roman" w:hAnsi="Times New Roman" w:cs="Times New Roman"/>
          <w:i/>
          <w:sz w:val="24"/>
        </w:rPr>
        <w:t>European Journal of Education and Psychology.</w:t>
      </w:r>
      <w:r w:rsidR="005744CA" w:rsidRPr="007D02BA">
        <w:rPr>
          <w:rFonts w:ascii="Times New Roman" w:hAnsi="Times New Roman" w:cs="Times New Roman"/>
          <w:sz w:val="24"/>
        </w:rPr>
        <w:t xml:space="preserve"> </w:t>
      </w:r>
      <w:r w:rsidRPr="00667DCD">
        <w:rPr>
          <w:rFonts w:ascii="Times New Roman" w:hAnsi="Times New Roman" w:cs="Times New Roman"/>
          <w:sz w:val="24"/>
        </w:rPr>
        <w:t>«</w:t>
      </w:r>
      <w:r w:rsidRPr="00B27930">
        <w:rPr>
          <w:rFonts w:ascii="Times New Roman" w:hAnsi="Times New Roman" w:cs="Times New Roman"/>
          <w:sz w:val="24"/>
        </w:rPr>
        <w:t>La sostenibilidad del sistema de pensiones en España</w:t>
      </w:r>
      <w:r w:rsidRPr="00667DCD">
        <w:rPr>
          <w:rFonts w:ascii="Times New Roman" w:hAnsi="Times New Roman" w:cs="Times New Roman"/>
          <w:sz w:val="24"/>
        </w:rPr>
        <w:t>»</w:t>
      </w:r>
      <w:r w:rsidRPr="00B27930">
        <w:rPr>
          <w:rFonts w:ascii="Times New Roman" w:hAnsi="Times New Roman" w:cs="Times New Roman"/>
          <w:sz w:val="24"/>
        </w:rPr>
        <w:t xml:space="preserve">. </w:t>
      </w:r>
      <w:r w:rsidR="005744CA">
        <w:rPr>
          <w:rFonts w:ascii="Times New Roman" w:hAnsi="Times New Roman" w:cs="Times New Roman"/>
          <w:sz w:val="24"/>
        </w:rPr>
        <w:t xml:space="preserve">Vol. 2, </w:t>
      </w:r>
      <w:r w:rsidRPr="00B27930">
        <w:rPr>
          <w:rFonts w:ascii="Times New Roman" w:hAnsi="Times New Roman" w:cs="Times New Roman"/>
          <w:sz w:val="24"/>
        </w:rPr>
        <w:t xml:space="preserve"> 2, pp.</w:t>
      </w:r>
      <w:r w:rsidR="005744CA">
        <w:rPr>
          <w:rFonts w:ascii="Times New Roman" w:hAnsi="Times New Roman" w:cs="Times New Roman"/>
          <w:sz w:val="24"/>
        </w:rPr>
        <w:t xml:space="preserve"> </w:t>
      </w:r>
      <w:r w:rsidRPr="00B27930">
        <w:rPr>
          <w:rFonts w:ascii="Times New Roman" w:hAnsi="Times New Roman" w:cs="Times New Roman"/>
          <w:sz w:val="24"/>
        </w:rPr>
        <w:t>113-129.</w:t>
      </w:r>
    </w:p>
    <w:p w:rsidR="003B3023" w:rsidRPr="00B27930" w:rsidRDefault="003B3023" w:rsidP="00C74E2A">
      <w:pPr>
        <w:spacing w:line="360" w:lineRule="auto"/>
        <w:ind w:left="567" w:hanging="567"/>
        <w:jc w:val="both"/>
        <w:rPr>
          <w:rFonts w:ascii="Times New Roman" w:hAnsi="Times New Roman" w:cs="Times New Roman"/>
          <w:sz w:val="24"/>
        </w:rPr>
      </w:pPr>
      <w:r w:rsidRPr="00B27930">
        <w:rPr>
          <w:rFonts w:ascii="Times New Roman" w:hAnsi="Times New Roman" w:cs="Times New Roman"/>
          <w:sz w:val="24"/>
        </w:rPr>
        <w:t xml:space="preserve">CAIXA CATALUNYA (2009): </w:t>
      </w:r>
      <w:r w:rsidRPr="00667DCD">
        <w:rPr>
          <w:rFonts w:ascii="Times New Roman" w:hAnsi="Times New Roman" w:cs="Times New Roman"/>
          <w:sz w:val="24"/>
        </w:rPr>
        <w:t>«</w:t>
      </w:r>
      <w:r w:rsidRPr="00B27930">
        <w:rPr>
          <w:rFonts w:ascii="Times New Roman" w:hAnsi="Times New Roman" w:cs="Times New Roman"/>
          <w:sz w:val="24"/>
        </w:rPr>
        <w:t>Informe sobre el consumo y la economía familiar</w:t>
      </w:r>
      <w:r w:rsidRPr="00667DCD">
        <w:rPr>
          <w:rFonts w:ascii="Times New Roman" w:hAnsi="Times New Roman" w:cs="Times New Roman"/>
          <w:sz w:val="24"/>
        </w:rPr>
        <w:t>»</w:t>
      </w:r>
      <w:r w:rsidR="005744CA">
        <w:rPr>
          <w:rFonts w:ascii="Times New Roman" w:hAnsi="Times New Roman" w:cs="Times New Roman"/>
          <w:sz w:val="24"/>
        </w:rPr>
        <w:t xml:space="preserve">. </w:t>
      </w:r>
      <w:r w:rsidRPr="00B27930">
        <w:rPr>
          <w:rFonts w:ascii="Times New Roman" w:hAnsi="Times New Roman" w:cs="Times New Roman"/>
          <w:sz w:val="24"/>
        </w:rPr>
        <w:t>53, 84 p</w:t>
      </w:r>
      <w:r w:rsidR="005744CA">
        <w:rPr>
          <w:rFonts w:ascii="Times New Roman" w:hAnsi="Times New Roman" w:cs="Times New Roman"/>
          <w:sz w:val="24"/>
        </w:rPr>
        <w:t>p</w:t>
      </w:r>
      <w:r w:rsidRPr="00B27930">
        <w:rPr>
          <w:rFonts w:ascii="Times New Roman" w:hAnsi="Times New Roman" w:cs="Times New Roman"/>
          <w:sz w:val="24"/>
        </w:rPr>
        <w:t>.</w:t>
      </w:r>
    </w:p>
    <w:p w:rsidR="003B3023" w:rsidRPr="00B27930" w:rsidRDefault="003B3023" w:rsidP="00C74E2A">
      <w:pPr>
        <w:spacing w:line="360" w:lineRule="auto"/>
        <w:ind w:left="567" w:hanging="567"/>
        <w:jc w:val="both"/>
        <w:rPr>
          <w:rFonts w:ascii="Times New Roman" w:hAnsi="Times New Roman" w:cs="Times New Roman"/>
          <w:sz w:val="24"/>
        </w:rPr>
      </w:pPr>
      <w:r w:rsidRPr="00B27930">
        <w:rPr>
          <w:rFonts w:ascii="Times New Roman" w:hAnsi="Times New Roman" w:cs="Times New Roman"/>
          <w:sz w:val="24"/>
        </w:rPr>
        <w:t xml:space="preserve">CASTRO MARTÍN, T. (2010): </w:t>
      </w:r>
      <w:r w:rsidR="005744CA" w:rsidRPr="00B27930">
        <w:rPr>
          <w:rFonts w:ascii="Times New Roman" w:hAnsi="Times New Roman" w:cs="Times New Roman"/>
          <w:i/>
          <w:sz w:val="24"/>
        </w:rPr>
        <w:t>Análisis del Real Instituto Elcano</w:t>
      </w:r>
      <w:r w:rsidR="005744CA">
        <w:rPr>
          <w:rFonts w:ascii="Times New Roman" w:hAnsi="Times New Roman" w:cs="Times New Roman"/>
          <w:i/>
          <w:sz w:val="24"/>
        </w:rPr>
        <w:t>.</w:t>
      </w:r>
      <w:r w:rsidR="005744CA" w:rsidRPr="00B27930">
        <w:rPr>
          <w:rFonts w:ascii="Times New Roman" w:hAnsi="Times New Roman" w:cs="Times New Roman"/>
          <w:i/>
          <w:sz w:val="24"/>
        </w:rPr>
        <w:t xml:space="preserve"> </w:t>
      </w:r>
      <w:r w:rsidRPr="00667DCD">
        <w:rPr>
          <w:rFonts w:ascii="Times New Roman" w:hAnsi="Times New Roman" w:cs="Times New Roman"/>
          <w:sz w:val="24"/>
        </w:rPr>
        <w:t>«</w:t>
      </w:r>
      <w:r w:rsidRPr="00B27930">
        <w:rPr>
          <w:rFonts w:ascii="Times New Roman" w:hAnsi="Times New Roman" w:cs="Times New Roman"/>
          <w:sz w:val="24"/>
        </w:rPr>
        <w:t>¿Puede la inmigración frenar el envejecimiento de la población española?</w:t>
      </w:r>
      <w:r w:rsidRPr="00667DCD">
        <w:rPr>
          <w:rFonts w:ascii="Times New Roman" w:hAnsi="Times New Roman" w:cs="Times New Roman"/>
          <w:sz w:val="24"/>
        </w:rPr>
        <w:t>»</w:t>
      </w:r>
      <w:r w:rsidR="005744CA">
        <w:rPr>
          <w:rFonts w:ascii="Times New Roman" w:hAnsi="Times New Roman" w:cs="Times New Roman"/>
          <w:sz w:val="24"/>
        </w:rPr>
        <w:t xml:space="preserve"> </w:t>
      </w:r>
      <w:r w:rsidRPr="00B27930">
        <w:rPr>
          <w:rFonts w:ascii="Times New Roman" w:hAnsi="Times New Roman" w:cs="Times New Roman"/>
          <w:sz w:val="24"/>
        </w:rPr>
        <w:t>40, 11 p</w:t>
      </w:r>
      <w:r w:rsidR="005744CA">
        <w:rPr>
          <w:rFonts w:ascii="Times New Roman" w:hAnsi="Times New Roman" w:cs="Times New Roman"/>
          <w:sz w:val="24"/>
        </w:rPr>
        <w:t>p</w:t>
      </w:r>
      <w:r w:rsidRPr="00B27930">
        <w:rPr>
          <w:rFonts w:ascii="Times New Roman" w:hAnsi="Times New Roman" w:cs="Times New Roman"/>
          <w:sz w:val="24"/>
        </w:rPr>
        <w:t>.</w:t>
      </w:r>
    </w:p>
    <w:p w:rsidR="003B3023" w:rsidRPr="00B27930" w:rsidRDefault="003B3023" w:rsidP="00C74E2A">
      <w:pPr>
        <w:spacing w:line="360" w:lineRule="auto"/>
        <w:ind w:left="567" w:hanging="567"/>
        <w:jc w:val="both"/>
        <w:rPr>
          <w:rFonts w:ascii="Times New Roman" w:hAnsi="Times New Roman" w:cs="Times New Roman"/>
          <w:sz w:val="24"/>
        </w:rPr>
      </w:pPr>
      <w:r w:rsidRPr="00B27930">
        <w:rPr>
          <w:rFonts w:ascii="Times New Roman" w:hAnsi="Times New Roman" w:cs="Times New Roman"/>
          <w:bCs/>
          <w:sz w:val="24"/>
        </w:rPr>
        <w:t xml:space="preserve">CHASCO YRIGOYEN, C. y HERNÁNDEZ ASENSIO, I. (2004): </w:t>
      </w:r>
      <w:r w:rsidR="00695938" w:rsidRPr="00B47AED">
        <w:rPr>
          <w:rFonts w:ascii="Times New Roman" w:hAnsi="Times New Roman" w:cs="Times New Roman"/>
          <w:i/>
          <w:sz w:val="24"/>
        </w:rPr>
        <w:t>Encuentros multidisciplinares</w:t>
      </w:r>
      <w:r w:rsidR="00695938">
        <w:rPr>
          <w:rFonts w:ascii="Times New Roman" w:hAnsi="Times New Roman" w:cs="Times New Roman"/>
          <w:i/>
          <w:sz w:val="24"/>
        </w:rPr>
        <w:t>.</w:t>
      </w:r>
      <w:r w:rsidR="00695938" w:rsidRPr="00667DCD">
        <w:rPr>
          <w:rFonts w:ascii="Times New Roman" w:hAnsi="Times New Roman" w:cs="Times New Roman"/>
          <w:sz w:val="24"/>
        </w:rPr>
        <w:t xml:space="preserve"> </w:t>
      </w:r>
      <w:r w:rsidRPr="00667DCD">
        <w:rPr>
          <w:rFonts w:ascii="Times New Roman" w:hAnsi="Times New Roman" w:cs="Times New Roman"/>
          <w:sz w:val="24"/>
        </w:rPr>
        <w:t>«</w:t>
      </w:r>
      <w:r w:rsidRPr="00B27930">
        <w:rPr>
          <w:rFonts w:ascii="Times New Roman" w:hAnsi="Times New Roman" w:cs="Times New Roman"/>
          <w:bCs/>
          <w:sz w:val="24"/>
        </w:rPr>
        <w:t>Aspectos económicos y territoriales del envejecimiento en España</w:t>
      </w:r>
      <w:r w:rsidRPr="00667DCD">
        <w:rPr>
          <w:rFonts w:ascii="Times New Roman" w:hAnsi="Times New Roman" w:cs="Times New Roman"/>
          <w:sz w:val="24"/>
        </w:rPr>
        <w:t>»</w:t>
      </w:r>
      <w:r w:rsidR="00DF15D7">
        <w:rPr>
          <w:rFonts w:ascii="Times New Roman" w:hAnsi="Times New Roman" w:cs="Times New Roman"/>
          <w:sz w:val="24"/>
        </w:rPr>
        <w:t>.</w:t>
      </w:r>
      <w:r w:rsidR="00695938">
        <w:rPr>
          <w:rFonts w:ascii="Times New Roman" w:hAnsi="Times New Roman" w:cs="Times New Roman"/>
          <w:bCs/>
          <w:sz w:val="24"/>
        </w:rPr>
        <w:t xml:space="preserve"> </w:t>
      </w:r>
      <w:r w:rsidR="00695938">
        <w:rPr>
          <w:rFonts w:ascii="Times New Roman" w:hAnsi="Times New Roman" w:cs="Times New Roman"/>
          <w:sz w:val="24"/>
        </w:rPr>
        <w:t xml:space="preserve">Vol. 6, </w:t>
      </w:r>
      <w:r w:rsidRPr="00B27930">
        <w:rPr>
          <w:rFonts w:ascii="Times New Roman" w:hAnsi="Times New Roman" w:cs="Times New Roman"/>
          <w:sz w:val="24"/>
        </w:rPr>
        <w:t>16, pp. 47-58.</w:t>
      </w:r>
    </w:p>
    <w:p w:rsidR="003B3023" w:rsidRPr="00B27930" w:rsidRDefault="00695938" w:rsidP="00C74E2A">
      <w:pPr>
        <w:spacing w:line="360" w:lineRule="auto"/>
        <w:ind w:left="567" w:hanging="567"/>
        <w:jc w:val="both"/>
        <w:rPr>
          <w:rFonts w:ascii="Times New Roman" w:hAnsi="Times New Roman" w:cs="Times New Roman"/>
          <w:sz w:val="24"/>
        </w:rPr>
      </w:pPr>
      <w:r>
        <w:rPr>
          <w:rFonts w:ascii="Times New Roman" w:hAnsi="Times New Roman" w:cs="Times New Roman"/>
          <w:sz w:val="24"/>
        </w:rPr>
        <w:t>CRESPO GARRIDO, M. (2010</w:t>
      </w:r>
      <w:r w:rsidR="003B3023" w:rsidRPr="00B27930">
        <w:rPr>
          <w:rFonts w:ascii="Times New Roman" w:hAnsi="Times New Roman" w:cs="Times New Roman"/>
          <w:sz w:val="24"/>
        </w:rPr>
        <w:t xml:space="preserve">): </w:t>
      </w:r>
      <w:r w:rsidRPr="00B27930">
        <w:rPr>
          <w:rFonts w:ascii="Times New Roman" w:hAnsi="Times New Roman" w:cs="Times New Roman"/>
          <w:i/>
          <w:iCs/>
          <w:sz w:val="24"/>
        </w:rPr>
        <w:t>CLM Economía</w:t>
      </w:r>
      <w:r>
        <w:rPr>
          <w:rFonts w:ascii="Times New Roman" w:hAnsi="Times New Roman" w:cs="Times New Roman"/>
          <w:i/>
          <w:iCs/>
          <w:sz w:val="24"/>
        </w:rPr>
        <w:t>.</w:t>
      </w:r>
      <w:r w:rsidRPr="00667DCD">
        <w:rPr>
          <w:rFonts w:ascii="Times New Roman" w:hAnsi="Times New Roman" w:cs="Times New Roman"/>
          <w:sz w:val="24"/>
        </w:rPr>
        <w:t xml:space="preserve"> </w:t>
      </w:r>
      <w:r w:rsidR="003B3023" w:rsidRPr="00667DCD">
        <w:rPr>
          <w:rFonts w:ascii="Times New Roman" w:hAnsi="Times New Roman" w:cs="Times New Roman"/>
          <w:sz w:val="24"/>
        </w:rPr>
        <w:t>«</w:t>
      </w:r>
      <w:r w:rsidR="003B3023" w:rsidRPr="00B27930">
        <w:rPr>
          <w:rFonts w:ascii="Times New Roman" w:hAnsi="Times New Roman" w:cs="Times New Roman"/>
          <w:sz w:val="24"/>
        </w:rPr>
        <w:t>Mujer, mercado de trabajo y fecundidad: la conciliación de trabajo y familia, el mayor hándicap para el liderazgo femenino</w:t>
      </w:r>
      <w:r w:rsidR="003B3023" w:rsidRPr="00667DCD">
        <w:rPr>
          <w:rFonts w:ascii="Times New Roman" w:hAnsi="Times New Roman" w:cs="Times New Roman"/>
          <w:sz w:val="24"/>
        </w:rPr>
        <w:t>»</w:t>
      </w:r>
      <w:r>
        <w:rPr>
          <w:rFonts w:ascii="Times New Roman" w:hAnsi="Times New Roman" w:cs="Times New Roman"/>
          <w:sz w:val="24"/>
        </w:rPr>
        <w:t xml:space="preserve">. </w:t>
      </w:r>
      <w:r w:rsidR="003B3023" w:rsidRPr="00B27930">
        <w:rPr>
          <w:rFonts w:ascii="Times New Roman" w:hAnsi="Times New Roman" w:cs="Times New Roman"/>
          <w:sz w:val="24"/>
        </w:rPr>
        <w:t>17</w:t>
      </w:r>
      <w:r w:rsidR="003B3023">
        <w:rPr>
          <w:rFonts w:ascii="Times New Roman" w:hAnsi="Times New Roman" w:cs="Times New Roman"/>
          <w:sz w:val="24"/>
        </w:rPr>
        <w:t xml:space="preserve">, </w:t>
      </w:r>
      <w:r w:rsidR="003B3023" w:rsidRPr="00B27930">
        <w:rPr>
          <w:rFonts w:ascii="Times New Roman" w:hAnsi="Times New Roman" w:cs="Times New Roman"/>
          <w:sz w:val="24"/>
        </w:rPr>
        <w:t>Un</w:t>
      </w:r>
      <w:r w:rsidR="003B3023">
        <w:rPr>
          <w:rFonts w:ascii="Times New Roman" w:hAnsi="Times New Roman" w:cs="Times New Roman"/>
          <w:sz w:val="24"/>
        </w:rPr>
        <w:t>iversidad de Alcalá de Henares</w:t>
      </w:r>
      <w:r w:rsidR="003B3023" w:rsidRPr="00B27930">
        <w:rPr>
          <w:rFonts w:ascii="Times New Roman" w:hAnsi="Times New Roman" w:cs="Times New Roman"/>
          <w:sz w:val="24"/>
        </w:rPr>
        <w:t>, pp. 169-196</w:t>
      </w:r>
      <w:r w:rsidR="003B3023">
        <w:rPr>
          <w:rFonts w:ascii="Times New Roman" w:hAnsi="Times New Roman" w:cs="Times New Roman"/>
          <w:sz w:val="24"/>
        </w:rPr>
        <w:t>.</w:t>
      </w:r>
    </w:p>
    <w:p w:rsidR="003B3023" w:rsidRPr="00DA37D1" w:rsidRDefault="003B3023" w:rsidP="00C74E2A">
      <w:pPr>
        <w:spacing w:line="360" w:lineRule="auto"/>
        <w:ind w:left="567" w:hanging="567"/>
        <w:jc w:val="both"/>
        <w:rPr>
          <w:rFonts w:ascii="Times New Roman" w:hAnsi="Times New Roman" w:cs="Times New Roman"/>
          <w:sz w:val="24"/>
          <w:lang w:val="en-US"/>
        </w:rPr>
      </w:pPr>
      <w:r w:rsidRPr="00B27930">
        <w:rPr>
          <w:rFonts w:ascii="Times New Roman" w:hAnsi="Times New Roman" w:cs="Times New Roman"/>
          <w:sz w:val="24"/>
        </w:rPr>
        <w:t xml:space="preserve">DELGADO, M. </w:t>
      </w:r>
      <w:r w:rsidRPr="00B27930">
        <w:rPr>
          <w:rFonts w:ascii="Times New Roman" w:hAnsi="Times New Roman" w:cs="Times New Roman"/>
          <w:i/>
          <w:sz w:val="24"/>
        </w:rPr>
        <w:t>et al</w:t>
      </w:r>
      <w:r w:rsidRPr="00B27930">
        <w:rPr>
          <w:rFonts w:ascii="Times New Roman" w:hAnsi="Times New Roman" w:cs="Times New Roman"/>
          <w:sz w:val="24"/>
        </w:rPr>
        <w:t xml:space="preserve">. (2009): </w:t>
      </w:r>
      <w:r w:rsidR="00695938" w:rsidRPr="005D2F06">
        <w:rPr>
          <w:rFonts w:ascii="Times New Roman" w:hAnsi="Times New Roman" w:cs="Times New Roman"/>
          <w:i/>
          <w:sz w:val="24"/>
        </w:rPr>
        <w:t>Instituto de la Mujer</w:t>
      </w:r>
      <w:r w:rsidR="00695938">
        <w:rPr>
          <w:rFonts w:ascii="Times New Roman" w:hAnsi="Times New Roman" w:cs="Times New Roman"/>
          <w:i/>
          <w:sz w:val="24"/>
        </w:rPr>
        <w:t>.</w:t>
      </w:r>
      <w:r w:rsidR="00695938" w:rsidRPr="00667DCD">
        <w:rPr>
          <w:rFonts w:ascii="Times New Roman" w:hAnsi="Times New Roman" w:cs="Times New Roman"/>
          <w:sz w:val="24"/>
        </w:rPr>
        <w:t xml:space="preserve"> </w:t>
      </w:r>
      <w:r w:rsidRPr="00667DCD">
        <w:rPr>
          <w:rFonts w:ascii="Times New Roman" w:hAnsi="Times New Roman" w:cs="Times New Roman"/>
          <w:sz w:val="24"/>
        </w:rPr>
        <w:t>«</w:t>
      </w:r>
      <w:r w:rsidRPr="00B27930">
        <w:rPr>
          <w:rFonts w:ascii="Times New Roman" w:hAnsi="Times New Roman" w:cs="Times New Roman"/>
          <w:sz w:val="24"/>
        </w:rPr>
        <w:t>Fecundidad y Trayectoria Laboral de las Mujeres en España</w:t>
      </w:r>
      <w:r w:rsidRPr="00667DCD">
        <w:rPr>
          <w:rFonts w:ascii="Times New Roman" w:hAnsi="Times New Roman" w:cs="Times New Roman"/>
          <w:sz w:val="24"/>
        </w:rPr>
        <w:t>»</w:t>
      </w:r>
      <w:r w:rsidRPr="00B27930">
        <w:rPr>
          <w:rFonts w:ascii="Times New Roman" w:hAnsi="Times New Roman" w:cs="Times New Roman"/>
          <w:sz w:val="24"/>
        </w:rPr>
        <w:t>.</w:t>
      </w:r>
      <w:r w:rsidR="00695938">
        <w:rPr>
          <w:rFonts w:ascii="Times New Roman" w:hAnsi="Times New Roman" w:cs="Times New Roman"/>
          <w:sz w:val="24"/>
        </w:rPr>
        <w:t xml:space="preserve"> </w:t>
      </w:r>
      <w:r w:rsidRPr="00DA37D1">
        <w:rPr>
          <w:rFonts w:ascii="Times New Roman" w:hAnsi="Times New Roman" w:cs="Times New Roman"/>
          <w:sz w:val="24"/>
          <w:lang w:val="en-US"/>
        </w:rPr>
        <w:t>Madrid, 411 p. </w:t>
      </w:r>
    </w:p>
    <w:p w:rsidR="008F44DD" w:rsidRPr="008F44DD" w:rsidRDefault="008F44DD" w:rsidP="008F44DD">
      <w:pPr>
        <w:spacing w:line="360" w:lineRule="auto"/>
        <w:ind w:left="567" w:hanging="567"/>
        <w:jc w:val="both"/>
        <w:rPr>
          <w:rFonts w:ascii="Times New Roman" w:hAnsi="Times New Roman" w:cs="Times New Roman"/>
          <w:sz w:val="24"/>
        </w:rPr>
      </w:pPr>
      <w:commentRangeStart w:id="23"/>
      <w:r w:rsidRPr="008F44DD">
        <w:rPr>
          <w:rFonts w:ascii="Times New Roman" w:hAnsi="Times New Roman" w:cs="Times New Roman"/>
          <w:sz w:val="24"/>
          <w:lang w:val="en-US"/>
        </w:rPr>
        <w:t>EUROPEAN COM</w:t>
      </w:r>
      <w:r>
        <w:rPr>
          <w:rFonts w:ascii="Times New Roman" w:hAnsi="Times New Roman" w:cs="Times New Roman"/>
          <w:sz w:val="24"/>
          <w:lang w:val="en-US"/>
        </w:rPr>
        <w:t>M</w:t>
      </w:r>
      <w:r w:rsidRPr="008F44DD">
        <w:rPr>
          <w:rFonts w:ascii="Times New Roman" w:hAnsi="Times New Roman" w:cs="Times New Roman"/>
          <w:sz w:val="24"/>
          <w:lang w:val="en-US"/>
        </w:rPr>
        <w:t xml:space="preserve">ISSION (2014): </w:t>
      </w:r>
      <w:r w:rsidRPr="008F44DD">
        <w:rPr>
          <w:rFonts w:ascii="Times New Roman" w:hAnsi="Times New Roman" w:cs="Times New Roman"/>
          <w:i/>
          <w:sz w:val="24"/>
          <w:lang w:val="en-US"/>
        </w:rPr>
        <w:t>Eurostat</w:t>
      </w:r>
      <w:r w:rsidRPr="008F44DD">
        <w:rPr>
          <w:rFonts w:ascii="Times New Roman" w:hAnsi="Times New Roman" w:cs="Times New Roman"/>
          <w:sz w:val="24"/>
          <w:lang w:val="en-US"/>
        </w:rPr>
        <w:t xml:space="preserve">. «Population ageing in Europe: Facts, implications and policies». </w:t>
      </w:r>
      <w:r w:rsidRPr="008F44DD">
        <w:rPr>
          <w:rFonts w:ascii="Times New Roman" w:hAnsi="Times New Roman" w:cs="Times New Roman"/>
          <w:sz w:val="24"/>
        </w:rPr>
        <w:t>Luxembourg, 76 pp.</w:t>
      </w:r>
      <w:commentRangeEnd w:id="23"/>
      <w:r w:rsidR="00AC1277">
        <w:rPr>
          <w:rStyle w:val="Refdecomentario"/>
        </w:rPr>
        <w:commentReference w:id="23"/>
      </w:r>
    </w:p>
    <w:p w:rsidR="00C74E2A" w:rsidRPr="00B27930" w:rsidRDefault="00C74E2A" w:rsidP="00C74E2A">
      <w:pPr>
        <w:spacing w:line="360" w:lineRule="auto"/>
        <w:ind w:left="567" w:hanging="567"/>
        <w:jc w:val="both"/>
        <w:rPr>
          <w:rFonts w:ascii="Times New Roman" w:hAnsi="Times New Roman" w:cs="Times New Roman"/>
          <w:iCs/>
          <w:sz w:val="24"/>
        </w:rPr>
      </w:pPr>
      <w:r w:rsidRPr="00B27930">
        <w:rPr>
          <w:rFonts w:ascii="Times New Roman" w:hAnsi="Times New Roman" w:cs="Times New Roman"/>
          <w:sz w:val="24"/>
        </w:rPr>
        <w:t xml:space="preserve">GÓMEZ FAYRÉN J. y </w:t>
      </w:r>
      <w:r w:rsidRPr="00B27930">
        <w:rPr>
          <w:rFonts w:ascii="Times New Roman" w:hAnsi="Times New Roman" w:cs="Times New Roman"/>
          <w:iCs/>
          <w:sz w:val="24"/>
        </w:rPr>
        <w:t xml:space="preserve">MONLLOR DOMÍNGUEZ, C. (2005): </w:t>
      </w:r>
      <w:r w:rsidRPr="005D2F06">
        <w:rPr>
          <w:rFonts w:ascii="Times New Roman" w:hAnsi="Times New Roman" w:cs="Times New Roman"/>
          <w:i/>
          <w:iCs/>
          <w:sz w:val="24"/>
        </w:rPr>
        <w:t>Papeles de Geografía</w:t>
      </w:r>
      <w:r>
        <w:rPr>
          <w:rFonts w:ascii="Times New Roman" w:hAnsi="Times New Roman" w:cs="Times New Roman"/>
          <w:i/>
          <w:iCs/>
          <w:sz w:val="24"/>
        </w:rPr>
        <w:t>.</w:t>
      </w:r>
      <w:r>
        <w:rPr>
          <w:rFonts w:ascii="Times New Roman" w:hAnsi="Times New Roman" w:cs="Times New Roman"/>
          <w:sz w:val="24"/>
        </w:rPr>
        <w:t xml:space="preserve"> </w:t>
      </w:r>
      <w:r w:rsidRPr="00667DCD">
        <w:rPr>
          <w:rFonts w:ascii="Times New Roman" w:hAnsi="Times New Roman" w:cs="Times New Roman"/>
          <w:sz w:val="24"/>
        </w:rPr>
        <w:t>«</w:t>
      </w:r>
      <w:r w:rsidRPr="00B27930">
        <w:rPr>
          <w:rFonts w:ascii="Times New Roman" w:hAnsi="Times New Roman" w:cs="Times New Roman"/>
          <w:iCs/>
          <w:sz w:val="24"/>
        </w:rPr>
        <w:t>Impactos de la inmigración extranjera sobre la reciente dinámica natural de la población regional (II)</w:t>
      </w:r>
      <w:r w:rsidRPr="00667DCD">
        <w:rPr>
          <w:rFonts w:ascii="Times New Roman" w:hAnsi="Times New Roman" w:cs="Times New Roman"/>
          <w:sz w:val="24"/>
        </w:rPr>
        <w:t>»</w:t>
      </w:r>
      <w:r w:rsidRPr="00B27930">
        <w:rPr>
          <w:rFonts w:ascii="Times New Roman" w:hAnsi="Times New Roman" w:cs="Times New Roman"/>
          <w:iCs/>
          <w:sz w:val="24"/>
        </w:rPr>
        <w:t>.</w:t>
      </w:r>
      <w:r>
        <w:rPr>
          <w:rFonts w:ascii="Times New Roman" w:hAnsi="Times New Roman" w:cs="Times New Roman"/>
          <w:iCs/>
          <w:sz w:val="24"/>
        </w:rPr>
        <w:t xml:space="preserve"> </w:t>
      </w:r>
      <w:r w:rsidRPr="00B27930">
        <w:rPr>
          <w:rFonts w:ascii="Times New Roman" w:hAnsi="Times New Roman" w:cs="Times New Roman"/>
          <w:iCs/>
          <w:sz w:val="24"/>
        </w:rPr>
        <w:t>41-42, pp. 123-141.</w:t>
      </w:r>
    </w:p>
    <w:p w:rsidR="00C74E2A" w:rsidRPr="00B27930" w:rsidRDefault="00C74E2A" w:rsidP="00C74E2A">
      <w:pPr>
        <w:spacing w:line="360" w:lineRule="auto"/>
        <w:ind w:left="567" w:hanging="567"/>
        <w:jc w:val="both"/>
        <w:rPr>
          <w:rFonts w:ascii="Times New Roman" w:hAnsi="Times New Roman" w:cs="Times New Roman"/>
          <w:sz w:val="24"/>
        </w:rPr>
      </w:pPr>
      <w:r w:rsidRPr="00B27930">
        <w:rPr>
          <w:rFonts w:ascii="Times New Roman" w:hAnsi="Times New Roman" w:cs="Times New Roman"/>
          <w:sz w:val="24"/>
        </w:rPr>
        <w:t>GÓMEZ FAYRÉN</w:t>
      </w:r>
      <w:r>
        <w:rPr>
          <w:rFonts w:ascii="Times New Roman" w:hAnsi="Times New Roman" w:cs="Times New Roman"/>
          <w:sz w:val="24"/>
        </w:rPr>
        <w:t xml:space="preserve">, J. </w:t>
      </w:r>
      <w:r>
        <w:rPr>
          <w:rFonts w:ascii="Times New Roman" w:hAnsi="Times New Roman" w:cs="Times New Roman"/>
          <w:i/>
          <w:sz w:val="24"/>
        </w:rPr>
        <w:t>et al.</w:t>
      </w:r>
      <w:r>
        <w:rPr>
          <w:rFonts w:ascii="Times New Roman" w:hAnsi="Times New Roman" w:cs="Times New Roman"/>
          <w:sz w:val="24"/>
        </w:rPr>
        <w:t xml:space="preserve"> </w:t>
      </w:r>
      <w:r w:rsidRPr="00B27930">
        <w:rPr>
          <w:rFonts w:ascii="Times New Roman" w:hAnsi="Times New Roman" w:cs="Times New Roman"/>
          <w:sz w:val="24"/>
        </w:rPr>
        <w:t xml:space="preserve">(1994): </w:t>
      </w:r>
      <w:r w:rsidRPr="00B27930">
        <w:rPr>
          <w:rFonts w:ascii="Times New Roman" w:hAnsi="Times New Roman" w:cs="Times New Roman"/>
          <w:i/>
          <w:sz w:val="24"/>
        </w:rPr>
        <w:t>Papeles de Geografía</w:t>
      </w:r>
      <w:r>
        <w:rPr>
          <w:rFonts w:ascii="Times New Roman" w:hAnsi="Times New Roman" w:cs="Times New Roman"/>
          <w:i/>
          <w:sz w:val="24"/>
        </w:rPr>
        <w:t>.</w:t>
      </w:r>
      <w:r w:rsidRPr="00667DCD">
        <w:rPr>
          <w:rFonts w:ascii="Times New Roman" w:hAnsi="Times New Roman" w:cs="Times New Roman"/>
          <w:sz w:val="24"/>
        </w:rPr>
        <w:t xml:space="preserve"> «</w:t>
      </w:r>
      <w:r w:rsidRPr="00B27930">
        <w:rPr>
          <w:rFonts w:ascii="Times New Roman" w:hAnsi="Times New Roman" w:cs="Times New Roman"/>
          <w:sz w:val="24"/>
        </w:rPr>
        <w:t>Envejecimiento en la Región de Murcia (I)</w:t>
      </w:r>
      <w:r w:rsidRPr="00667DCD">
        <w:rPr>
          <w:rFonts w:ascii="Times New Roman" w:hAnsi="Times New Roman" w:cs="Times New Roman"/>
          <w:sz w:val="24"/>
        </w:rPr>
        <w:t>»</w:t>
      </w:r>
      <w:r w:rsidRPr="00B27930">
        <w:rPr>
          <w:rFonts w:ascii="Times New Roman" w:hAnsi="Times New Roman" w:cs="Times New Roman"/>
          <w:sz w:val="24"/>
        </w:rPr>
        <w:t>.</w:t>
      </w:r>
      <w:r>
        <w:rPr>
          <w:rFonts w:ascii="Times New Roman" w:hAnsi="Times New Roman" w:cs="Times New Roman"/>
          <w:sz w:val="24"/>
        </w:rPr>
        <w:t xml:space="preserve"> </w:t>
      </w:r>
      <w:r w:rsidRPr="00B27930">
        <w:rPr>
          <w:rFonts w:ascii="Times New Roman" w:hAnsi="Times New Roman" w:cs="Times New Roman"/>
          <w:sz w:val="24"/>
        </w:rPr>
        <w:t>20, pp. 147-173.</w:t>
      </w:r>
    </w:p>
    <w:p w:rsidR="00C74E2A" w:rsidRPr="00B27930" w:rsidRDefault="00C74E2A" w:rsidP="00C74E2A">
      <w:pPr>
        <w:spacing w:line="360" w:lineRule="auto"/>
        <w:ind w:left="567" w:hanging="567"/>
        <w:jc w:val="both"/>
        <w:rPr>
          <w:rFonts w:ascii="Times New Roman" w:hAnsi="Times New Roman" w:cs="Times New Roman"/>
          <w:sz w:val="24"/>
        </w:rPr>
      </w:pPr>
      <w:r w:rsidRPr="00B27930">
        <w:rPr>
          <w:rFonts w:ascii="Times New Roman" w:hAnsi="Times New Roman" w:cs="Times New Roman"/>
          <w:sz w:val="24"/>
        </w:rPr>
        <w:lastRenderedPageBreak/>
        <w:t>GÓMEZ FAYRÉN</w:t>
      </w:r>
      <w:r>
        <w:rPr>
          <w:rFonts w:ascii="Times New Roman" w:hAnsi="Times New Roman" w:cs="Times New Roman"/>
          <w:sz w:val="24"/>
        </w:rPr>
        <w:t xml:space="preserve">, J. </w:t>
      </w:r>
      <w:r>
        <w:rPr>
          <w:rFonts w:ascii="Times New Roman" w:hAnsi="Times New Roman" w:cs="Times New Roman"/>
          <w:i/>
          <w:sz w:val="24"/>
        </w:rPr>
        <w:t>et al.</w:t>
      </w:r>
      <w:r>
        <w:rPr>
          <w:rFonts w:ascii="Times New Roman" w:hAnsi="Times New Roman" w:cs="Times New Roman"/>
          <w:sz w:val="24"/>
        </w:rPr>
        <w:t xml:space="preserve"> </w:t>
      </w:r>
      <w:r w:rsidRPr="00B27930">
        <w:rPr>
          <w:rFonts w:ascii="Times New Roman" w:hAnsi="Times New Roman" w:cs="Times New Roman"/>
          <w:sz w:val="24"/>
        </w:rPr>
        <w:t xml:space="preserve">(1995): </w:t>
      </w:r>
      <w:r w:rsidRPr="00B27930">
        <w:rPr>
          <w:rFonts w:ascii="Times New Roman" w:hAnsi="Times New Roman" w:cs="Times New Roman"/>
          <w:i/>
          <w:sz w:val="24"/>
        </w:rPr>
        <w:t>Papeles de Geografía</w:t>
      </w:r>
      <w:r>
        <w:rPr>
          <w:rFonts w:ascii="Times New Roman" w:hAnsi="Times New Roman" w:cs="Times New Roman"/>
          <w:i/>
          <w:sz w:val="24"/>
        </w:rPr>
        <w:t>.</w:t>
      </w:r>
      <w:r w:rsidRPr="00667DCD">
        <w:rPr>
          <w:rFonts w:ascii="Times New Roman" w:hAnsi="Times New Roman" w:cs="Times New Roman"/>
          <w:sz w:val="24"/>
        </w:rPr>
        <w:t xml:space="preserve"> «</w:t>
      </w:r>
      <w:r w:rsidRPr="00B27930">
        <w:rPr>
          <w:rFonts w:ascii="Times New Roman" w:hAnsi="Times New Roman" w:cs="Times New Roman"/>
          <w:sz w:val="24"/>
        </w:rPr>
        <w:t>Envejecimiento en la Región de Murcia (II)</w:t>
      </w:r>
      <w:r w:rsidRPr="00667DCD">
        <w:rPr>
          <w:rFonts w:ascii="Times New Roman" w:hAnsi="Times New Roman" w:cs="Times New Roman"/>
          <w:sz w:val="24"/>
        </w:rPr>
        <w:t>»</w:t>
      </w:r>
      <w:r w:rsidRPr="00B27930">
        <w:rPr>
          <w:rFonts w:ascii="Times New Roman" w:hAnsi="Times New Roman" w:cs="Times New Roman"/>
          <w:sz w:val="24"/>
        </w:rPr>
        <w:t>.</w:t>
      </w:r>
      <w:r>
        <w:rPr>
          <w:rFonts w:ascii="Times New Roman" w:hAnsi="Times New Roman" w:cs="Times New Roman"/>
          <w:sz w:val="24"/>
        </w:rPr>
        <w:t xml:space="preserve"> </w:t>
      </w:r>
      <w:r w:rsidRPr="00B27930">
        <w:rPr>
          <w:rFonts w:ascii="Times New Roman" w:hAnsi="Times New Roman" w:cs="Times New Roman"/>
          <w:sz w:val="24"/>
        </w:rPr>
        <w:t>22, pp. 105-121.</w:t>
      </w:r>
    </w:p>
    <w:p w:rsidR="00C74E2A" w:rsidRPr="00B27930" w:rsidRDefault="00C74E2A" w:rsidP="00C74E2A">
      <w:pPr>
        <w:spacing w:line="360" w:lineRule="auto"/>
        <w:ind w:left="567" w:hanging="567"/>
        <w:jc w:val="both"/>
        <w:rPr>
          <w:rFonts w:ascii="Times New Roman" w:hAnsi="Times New Roman" w:cs="Times New Roman"/>
          <w:sz w:val="24"/>
        </w:rPr>
      </w:pPr>
      <w:r w:rsidRPr="00B27930">
        <w:rPr>
          <w:rFonts w:ascii="Times New Roman" w:hAnsi="Times New Roman" w:cs="Times New Roman"/>
          <w:sz w:val="24"/>
        </w:rPr>
        <w:t xml:space="preserve">GOZÁLVEZ PÉREZ, V. (2010): </w:t>
      </w:r>
      <w:r w:rsidRPr="00B27930">
        <w:rPr>
          <w:rFonts w:ascii="Times New Roman" w:hAnsi="Times New Roman" w:cs="Times New Roman"/>
          <w:i/>
          <w:sz w:val="24"/>
        </w:rPr>
        <w:t>Investigaciones Geográficas</w:t>
      </w:r>
      <w:r>
        <w:rPr>
          <w:rFonts w:ascii="Times New Roman" w:hAnsi="Times New Roman" w:cs="Times New Roman"/>
          <w:i/>
          <w:sz w:val="24"/>
        </w:rPr>
        <w:t>.</w:t>
      </w:r>
      <w:r w:rsidRPr="00667DCD">
        <w:rPr>
          <w:rFonts w:ascii="Times New Roman" w:hAnsi="Times New Roman" w:cs="Times New Roman"/>
          <w:sz w:val="24"/>
        </w:rPr>
        <w:t xml:space="preserve"> «</w:t>
      </w:r>
      <w:r w:rsidRPr="00B27930">
        <w:rPr>
          <w:rFonts w:ascii="Times New Roman" w:hAnsi="Times New Roman" w:cs="Times New Roman"/>
          <w:sz w:val="24"/>
        </w:rPr>
        <w:t>Los extranjeros residentes en España: su aportación a la demografía</w:t>
      </w:r>
      <w:r w:rsidRPr="00667DCD">
        <w:rPr>
          <w:rFonts w:ascii="Times New Roman" w:hAnsi="Times New Roman" w:cs="Times New Roman"/>
          <w:sz w:val="24"/>
        </w:rPr>
        <w:t>»</w:t>
      </w:r>
      <w:r w:rsidRPr="00B27930">
        <w:rPr>
          <w:rFonts w:ascii="Times New Roman" w:hAnsi="Times New Roman" w:cs="Times New Roman"/>
          <w:sz w:val="24"/>
        </w:rPr>
        <w:t>. 52, Universidad de Alicante</w:t>
      </w:r>
      <w:r>
        <w:rPr>
          <w:rFonts w:ascii="Times New Roman" w:hAnsi="Times New Roman" w:cs="Times New Roman"/>
          <w:sz w:val="24"/>
        </w:rPr>
        <w:t>,</w:t>
      </w:r>
      <w:r w:rsidRPr="00B27930">
        <w:rPr>
          <w:rFonts w:ascii="Times New Roman" w:hAnsi="Times New Roman" w:cs="Times New Roman"/>
          <w:sz w:val="24"/>
        </w:rPr>
        <w:t xml:space="preserve"> pp. 99-135.</w:t>
      </w:r>
    </w:p>
    <w:p w:rsidR="003B3023" w:rsidRPr="00B27930" w:rsidRDefault="003B3023" w:rsidP="00C74E2A">
      <w:pPr>
        <w:spacing w:line="360" w:lineRule="auto"/>
        <w:ind w:left="567" w:hanging="567"/>
        <w:jc w:val="both"/>
        <w:rPr>
          <w:rFonts w:ascii="Times New Roman" w:hAnsi="Times New Roman" w:cs="Times New Roman"/>
          <w:sz w:val="24"/>
        </w:rPr>
      </w:pPr>
      <w:r w:rsidRPr="00B27930">
        <w:rPr>
          <w:rFonts w:ascii="Times New Roman" w:hAnsi="Times New Roman" w:cs="Times New Roman"/>
          <w:sz w:val="24"/>
        </w:rPr>
        <w:t xml:space="preserve">HERNÁNDEZ DE COS, P. y ORTEGA REGATO, E. (2002): </w:t>
      </w:r>
      <w:r w:rsidR="00695938" w:rsidRPr="00B27930">
        <w:rPr>
          <w:rFonts w:ascii="Times New Roman" w:hAnsi="Times New Roman" w:cs="Times New Roman"/>
          <w:i/>
          <w:sz w:val="24"/>
        </w:rPr>
        <w:t>Revista valenciana de economía y hacienda</w:t>
      </w:r>
      <w:r w:rsidR="00695938">
        <w:rPr>
          <w:rFonts w:ascii="Times New Roman" w:hAnsi="Times New Roman" w:cs="Times New Roman"/>
          <w:i/>
          <w:sz w:val="24"/>
        </w:rPr>
        <w:t>.</w:t>
      </w:r>
      <w:r w:rsidR="00695938" w:rsidRPr="00667DCD">
        <w:rPr>
          <w:rFonts w:ascii="Times New Roman" w:hAnsi="Times New Roman" w:cs="Times New Roman"/>
          <w:sz w:val="24"/>
        </w:rPr>
        <w:t xml:space="preserve"> </w:t>
      </w:r>
      <w:r w:rsidRPr="00667DCD">
        <w:rPr>
          <w:rFonts w:ascii="Times New Roman" w:hAnsi="Times New Roman" w:cs="Times New Roman"/>
          <w:sz w:val="24"/>
        </w:rPr>
        <w:t>«</w:t>
      </w:r>
      <w:r w:rsidRPr="00B27930">
        <w:rPr>
          <w:rFonts w:ascii="Times New Roman" w:hAnsi="Times New Roman" w:cs="Times New Roman"/>
          <w:sz w:val="24"/>
        </w:rPr>
        <w:t>Gasto público y envejecimiento de la población</w:t>
      </w:r>
      <w:r w:rsidRPr="00667DCD">
        <w:rPr>
          <w:rFonts w:ascii="Times New Roman" w:hAnsi="Times New Roman" w:cs="Times New Roman"/>
          <w:sz w:val="24"/>
        </w:rPr>
        <w:t>»</w:t>
      </w:r>
      <w:r w:rsidRPr="00B27930">
        <w:rPr>
          <w:rFonts w:ascii="Times New Roman" w:hAnsi="Times New Roman" w:cs="Times New Roman"/>
          <w:sz w:val="24"/>
        </w:rPr>
        <w:t>. 6, pp. 9-35.</w:t>
      </w:r>
    </w:p>
    <w:p w:rsidR="003B3023" w:rsidRPr="00B27930" w:rsidRDefault="003B3023" w:rsidP="00C74E2A">
      <w:pPr>
        <w:spacing w:line="360" w:lineRule="auto"/>
        <w:ind w:left="567" w:hanging="567"/>
        <w:jc w:val="both"/>
        <w:rPr>
          <w:rFonts w:ascii="Times New Roman" w:hAnsi="Times New Roman" w:cs="Times New Roman"/>
          <w:sz w:val="24"/>
        </w:rPr>
      </w:pPr>
      <w:r w:rsidRPr="00B27930">
        <w:rPr>
          <w:rFonts w:ascii="Times New Roman" w:hAnsi="Times New Roman" w:cs="Times New Roman"/>
          <w:sz w:val="24"/>
        </w:rPr>
        <w:t xml:space="preserve">JIMÉNEZ BLASCO, B.C. (2008): </w:t>
      </w:r>
      <w:r w:rsidR="000C2469" w:rsidRPr="00B27930">
        <w:rPr>
          <w:rFonts w:ascii="Times New Roman" w:hAnsi="Times New Roman" w:cs="Times New Roman"/>
          <w:i/>
          <w:sz w:val="24"/>
        </w:rPr>
        <w:t>Documents d'anàlisi geogràfica</w:t>
      </w:r>
      <w:r w:rsidR="000C2469">
        <w:rPr>
          <w:rFonts w:ascii="Times New Roman" w:hAnsi="Times New Roman" w:cs="Times New Roman"/>
          <w:i/>
          <w:sz w:val="24"/>
        </w:rPr>
        <w:t>.</w:t>
      </w:r>
      <w:r w:rsidR="000C2469" w:rsidRPr="00667DCD">
        <w:rPr>
          <w:rFonts w:ascii="Times New Roman" w:hAnsi="Times New Roman" w:cs="Times New Roman"/>
          <w:sz w:val="24"/>
        </w:rPr>
        <w:t xml:space="preserve"> </w:t>
      </w:r>
      <w:r w:rsidRPr="00667DCD">
        <w:rPr>
          <w:rFonts w:ascii="Times New Roman" w:hAnsi="Times New Roman" w:cs="Times New Roman"/>
          <w:sz w:val="24"/>
        </w:rPr>
        <w:t>«</w:t>
      </w:r>
      <w:r w:rsidRPr="00B27930">
        <w:rPr>
          <w:rFonts w:ascii="Times New Roman" w:hAnsi="Times New Roman" w:cs="Times New Roman"/>
          <w:sz w:val="24"/>
        </w:rPr>
        <w:t>Desigualdades territoriales en relación con el envejecimiento de la población española</w:t>
      </w:r>
      <w:r w:rsidRPr="00667DCD">
        <w:rPr>
          <w:rFonts w:ascii="Times New Roman" w:hAnsi="Times New Roman" w:cs="Times New Roman"/>
          <w:sz w:val="24"/>
        </w:rPr>
        <w:t>»</w:t>
      </w:r>
      <w:r w:rsidRPr="00B27930">
        <w:rPr>
          <w:rFonts w:ascii="Times New Roman" w:hAnsi="Times New Roman" w:cs="Times New Roman"/>
          <w:sz w:val="24"/>
        </w:rPr>
        <w:t>.</w:t>
      </w:r>
      <w:r w:rsidR="000C2469">
        <w:rPr>
          <w:rFonts w:ascii="Times New Roman" w:hAnsi="Times New Roman" w:cs="Times New Roman"/>
          <w:sz w:val="24"/>
        </w:rPr>
        <w:t xml:space="preserve"> </w:t>
      </w:r>
      <w:r w:rsidRPr="00B27930">
        <w:rPr>
          <w:rFonts w:ascii="Times New Roman" w:hAnsi="Times New Roman" w:cs="Times New Roman"/>
          <w:sz w:val="24"/>
        </w:rPr>
        <w:t>52, pp. 91-110.</w:t>
      </w:r>
    </w:p>
    <w:p w:rsidR="003B3023" w:rsidRPr="00B27930" w:rsidRDefault="003B3023" w:rsidP="00C74E2A">
      <w:pPr>
        <w:spacing w:line="360" w:lineRule="auto"/>
        <w:ind w:left="567" w:hanging="567"/>
        <w:jc w:val="both"/>
        <w:rPr>
          <w:rFonts w:ascii="Times New Roman" w:hAnsi="Times New Roman" w:cs="Times New Roman"/>
          <w:sz w:val="24"/>
        </w:rPr>
      </w:pPr>
      <w:r w:rsidRPr="00B27930">
        <w:rPr>
          <w:rFonts w:ascii="Times New Roman" w:hAnsi="Times New Roman" w:cs="Times New Roman"/>
          <w:sz w:val="24"/>
        </w:rPr>
        <w:t xml:space="preserve">JIMÉNEZ-RIDRUEJO AYUSO, Z. (2008): </w:t>
      </w:r>
      <w:r w:rsidR="000C2469" w:rsidRPr="00B27930">
        <w:rPr>
          <w:rFonts w:ascii="Times New Roman" w:hAnsi="Times New Roman" w:cs="Times New Roman"/>
          <w:i/>
          <w:sz w:val="24"/>
        </w:rPr>
        <w:t>Revista del Ministerio de Trabajo e Inmigración</w:t>
      </w:r>
      <w:r w:rsidR="000C2469">
        <w:rPr>
          <w:rFonts w:ascii="Times New Roman" w:hAnsi="Times New Roman" w:cs="Times New Roman"/>
          <w:i/>
          <w:sz w:val="24"/>
        </w:rPr>
        <w:t xml:space="preserve">. </w:t>
      </w:r>
      <w:r w:rsidRPr="00667DCD">
        <w:rPr>
          <w:rFonts w:ascii="Times New Roman" w:hAnsi="Times New Roman" w:cs="Times New Roman"/>
          <w:sz w:val="24"/>
        </w:rPr>
        <w:t>«</w:t>
      </w:r>
      <w:r w:rsidRPr="00B27930">
        <w:rPr>
          <w:rFonts w:ascii="Times New Roman" w:hAnsi="Times New Roman" w:cs="Times New Roman"/>
          <w:sz w:val="24"/>
        </w:rPr>
        <w:t>Envejecimiento e inmigración: Consecuencias sobre la sostenibilidad del sistema de pensiones en España</w:t>
      </w:r>
      <w:r w:rsidRPr="00667DCD">
        <w:rPr>
          <w:rFonts w:ascii="Times New Roman" w:hAnsi="Times New Roman" w:cs="Times New Roman"/>
          <w:sz w:val="24"/>
        </w:rPr>
        <w:t>»</w:t>
      </w:r>
      <w:r w:rsidRPr="00B27930">
        <w:rPr>
          <w:rFonts w:ascii="Times New Roman" w:hAnsi="Times New Roman" w:cs="Times New Roman"/>
          <w:sz w:val="24"/>
        </w:rPr>
        <w:t>.</w:t>
      </w:r>
      <w:r w:rsidR="000C2469">
        <w:rPr>
          <w:rFonts w:ascii="Times New Roman" w:hAnsi="Times New Roman" w:cs="Times New Roman"/>
          <w:sz w:val="24"/>
        </w:rPr>
        <w:t xml:space="preserve"> </w:t>
      </w:r>
      <w:r w:rsidRPr="00B27930">
        <w:rPr>
          <w:rFonts w:ascii="Times New Roman" w:hAnsi="Times New Roman" w:cs="Times New Roman"/>
          <w:sz w:val="24"/>
        </w:rPr>
        <w:t>74, pp. 359-378.</w:t>
      </w:r>
    </w:p>
    <w:p w:rsidR="003B3023" w:rsidRPr="00B27930" w:rsidRDefault="003B3023" w:rsidP="00C74E2A">
      <w:pPr>
        <w:spacing w:line="360" w:lineRule="auto"/>
        <w:ind w:left="567" w:hanging="567"/>
        <w:jc w:val="both"/>
        <w:rPr>
          <w:rFonts w:ascii="Times New Roman" w:hAnsi="Times New Roman" w:cs="Times New Roman"/>
          <w:sz w:val="24"/>
        </w:rPr>
      </w:pPr>
      <w:r w:rsidRPr="00B27930">
        <w:rPr>
          <w:rFonts w:ascii="Times New Roman" w:hAnsi="Times New Roman" w:cs="Times New Roman"/>
          <w:sz w:val="24"/>
        </w:rPr>
        <w:t xml:space="preserve">LEGAZPE MORALEJA, N. (2011): </w:t>
      </w:r>
      <w:r w:rsidR="000C2469" w:rsidRPr="00B27930">
        <w:rPr>
          <w:rFonts w:ascii="Times New Roman" w:hAnsi="Times New Roman" w:cs="Times New Roman"/>
          <w:i/>
          <w:sz w:val="24"/>
        </w:rPr>
        <w:t>I Jornadas Doctorales de Castilla-La Mancha</w:t>
      </w:r>
      <w:r w:rsidR="000C2469">
        <w:rPr>
          <w:rFonts w:ascii="Times New Roman" w:hAnsi="Times New Roman" w:cs="Times New Roman"/>
          <w:i/>
          <w:sz w:val="24"/>
        </w:rPr>
        <w:t>.</w:t>
      </w:r>
      <w:r w:rsidR="000C2469" w:rsidRPr="00667DCD">
        <w:rPr>
          <w:rFonts w:ascii="Times New Roman" w:hAnsi="Times New Roman" w:cs="Times New Roman"/>
          <w:sz w:val="24"/>
        </w:rPr>
        <w:t xml:space="preserve"> </w:t>
      </w:r>
      <w:r w:rsidRPr="00667DCD">
        <w:rPr>
          <w:rFonts w:ascii="Times New Roman" w:hAnsi="Times New Roman" w:cs="Times New Roman"/>
          <w:sz w:val="24"/>
        </w:rPr>
        <w:t>«</w:t>
      </w:r>
      <w:r w:rsidRPr="00B27930">
        <w:rPr>
          <w:rFonts w:ascii="Times New Roman" w:hAnsi="Times New Roman" w:cs="Times New Roman"/>
          <w:sz w:val="24"/>
        </w:rPr>
        <w:t>Fecundidad y participación laboral femenina: una estimación simultánea</w:t>
      </w:r>
      <w:r w:rsidRPr="00667DCD">
        <w:rPr>
          <w:rFonts w:ascii="Times New Roman" w:hAnsi="Times New Roman" w:cs="Times New Roman"/>
          <w:sz w:val="24"/>
        </w:rPr>
        <w:t>»</w:t>
      </w:r>
      <w:r w:rsidRPr="00B27930">
        <w:rPr>
          <w:rFonts w:ascii="Times New Roman" w:hAnsi="Times New Roman" w:cs="Times New Roman"/>
          <w:sz w:val="24"/>
        </w:rPr>
        <w:t xml:space="preserve">. </w:t>
      </w:r>
      <w:r w:rsidR="000C2469">
        <w:rPr>
          <w:rFonts w:ascii="Times New Roman" w:hAnsi="Times New Roman" w:cs="Times New Roman"/>
          <w:sz w:val="24"/>
        </w:rPr>
        <w:t xml:space="preserve">Universidad de Castilla-La Mancha, </w:t>
      </w:r>
      <w:r w:rsidRPr="00B27930">
        <w:rPr>
          <w:rFonts w:ascii="Times New Roman" w:hAnsi="Times New Roman" w:cs="Times New Roman"/>
          <w:sz w:val="24"/>
        </w:rPr>
        <w:t>25 p</w:t>
      </w:r>
      <w:r w:rsidR="00695938">
        <w:rPr>
          <w:rFonts w:ascii="Times New Roman" w:hAnsi="Times New Roman" w:cs="Times New Roman"/>
          <w:sz w:val="24"/>
        </w:rPr>
        <w:t>p</w:t>
      </w:r>
      <w:r w:rsidRPr="00B27930">
        <w:rPr>
          <w:rFonts w:ascii="Times New Roman" w:hAnsi="Times New Roman" w:cs="Times New Roman"/>
          <w:sz w:val="24"/>
        </w:rPr>
        <w:t>.</w:t>
      </w:r>
    </w:p>
    <w:p w:rsidR="003B3023" w:rsidRPr="00B27930" w:rsidRDefault="003B3023" w:rsidP="00C74E2A">
      <w:pPr>
        <w:spacing w:line="360" w:lineRule="auto"/>
        <w:ind w:left="567" w:hanging="567"/>
        <w:jc w:val="both"/>
        <w:rPr>
          <w:rFonts w:ascii="Times New Roman" w:hAnsi="Times New Roman" w:cs="Times New Roman"/>
          <w:sz w:val="24"/>
        </w:rPr>
      </w:pPr>
      <w:r w:rsidRPr="00B27930">
        <w:rPr>
          <w:rFonts w:ascii="Times New Roman" w:hAnsi="Times New Roman" w:cs="Times New Roman"/>
          <w:sz w:val="24"/>
        </w:rPr>
        <w:t xml:space="preserve">LÓPEZ DÍAZ, J. (2006): </w:t>
      </w:r>
      <w:r w:rsidR="000C2469" w:rsidRPr="00B27930">
        <w:rPr>
          <w:rFonts w:ascii="Times New Roman" w:hAnsi="Times New Roman" w:cs="Times New Roman"/>
          <w:i/>
          <w:sz w:val="24"/>
        </w:rPr>
        <w:t>Temas para el debate</w:t>
      </w:r>
      <w:r w:rsidR="000C2469">
        <w:rPr>
          <w:rFonts w:ascii="Times New Roman" w:hAnsi="Times New Roman" w:cs="Times New Roman"/>
          <w:i/>
          <w:sz w:val="24"/>
        </w:rPr>
        <w:t>.</w:t>
      </w:r>
      <w:r w:rsidR="000C2469" w:rsidRPr="00667DCD">
        <w:rPr>
          <w:rFonts w:ascii="Times New Roman" w:hAnsi="Times New Roman" w:cs="Times New Roman"/>
          <w:sz w:val="24"/>
        </w:rPr>
        <w:t xml:space="preserve"> </w:t>
      </w:r>
      <w:r w:rsidRPr="00667DCD">
        <w:rPr>
          <w:rFonts w:ascii="Times New Roman" w:hAnsi="Times New Roman" w:cs="Times New Roman"/>
          <w:sz w:val="24"/>
        </w:rPr>
        <w:t>«</w:t>
      </w:r>
      <w:r w:rsidRPr="00B27930">
        <w:rPr>
          <w:rFonts w:ascii="Times New Roman" w:hAnsi="Times New Roman" w:cs="Times New Roman"/>
          <w:sz w:val="24"/>
        </w:rPr>
        <w:t>Envejecimiento y pensiones</w:t>
      </w:r>
      <w:r w:rsidRPr="00667DCD">
        <w:rPr>
          <w:rFonts w:ascii="Times New Roman" w:hAnsi="Times New Roman" w:cs="Times New Roman"/>
          <w:sz w:val="24"/>
        </w:rPr>
        <w:t>»</w:t>
      </w:r>
      <w:r w:rsidRPr="00B27930">
        <w:rPr>
          <w:rFonts w:ascii="Times New Roman" w:hAnsi="Times New Roman" w:cs="Times New Roman"/>
          <w:sz w:val="24"/>
        </w:rPr>
        <w:t>. 139, pp. 29-32.</w:t>
      </w:r>
    </w:p>
    <w:p w:rsidR="003B3023" w:rsidRPr="00B27930" w:rsidRDefault="003B3023" w:rsidP="00C74E2A">
      <w:pPr>
        <w:spacing w:line="360" w:lineRule="auto"/>
        <w:ind w:left="567" w:hanging="567"/>
        <w:jc w:val="both"/>
        <w:rPr>
          <w:rFonts w:ascii="Times New Roman" w:hAnsi="Times New Roman" w:cs="Times New Roman"/>
          <w:sz w:val="24"/>
        </w:rPr>
      </w:pPr>
      <w:r w:rsidRPr="00B27930">
        <w:rPr>
          <w:rFonts w:ascii="Times New Roman" w:hAnsi="Times New Roman" w:cs="Times New Roman"/>
          <w:sz w:val="24"/>
        </w:rPr>
        <w:t xml:space="preserve">LORENZO CARRASCOSA, L. (2004): </w:t>
      </w:r>
      <w:r w:rsidR="000C2469" w:rsidRPr="00B27930">
        <w:rPr>
          <w:rFonts w:ascii="Times New Roman" w:hAnsi="Times New Roman" w:cs="Times New Roman"/>
          <w:i/>
          <w:sz w:val="24"/>
        </w:rPr>
        <w:t xml:space="preserve">Instituto Nacional de Estadística </w:t>
      </w:r>
      <w:r w:rsidRPr="00667DCD">
        <w:rPr>
          <w:rFonts w:ascii="Times New Roman" w:hAnsi="Times New Roman" w:cs="Times New Roman"/>
          <w:sz w:val="24"/>
        </w:rPr>
        <w:t>«</w:t>
      </w:r>
      <w:r w:rsidRPr="00B27930">
        <w:rPr>
          <w:rFonts w:ascii="Times New Roman" w:hAnsi="Times New Roman" w:cs="Times New Roman"/>
          <w:sz w:val="24"/>
        </w:rPr>
        <w:t>Consecuencias del envejecimiento de la población: el futuro de las pensiones</w:t>
      </w:r>
      <w:r w:rsidRPr="00667DCD">
        <w:rPr>
          <w:rFonts w:ascii="Times New Roman" w:hAnsi="Times New Roman" w:cs="Times New Roman"/>
          <w:sz w:val="24"/>
        </w:rPr>
        <w:t>»</w:t>
      </w:r>
      <w:r w:rsidRPr="00B27930">
        <w:rPr>
          <w:rFonts w:ascii="Times New Roman" w:hAnsi="Times New Roman" w:cs="Times New Roman"/>
          <w:sz w:val="24"/>
        </w:rPr>
        <w:t xml:space="preserve">. 20 </w:t>
      </w:r>
      <w:r w:rsidR="00695938">
        <w:rPr>
          <w:rFonts w:ascii="Times New Roman" w:hAnsi="Times New Roman" w:cs="Times New Roman"/>
          <w:sz w:val="24"/>
        </w:rPr>
        <w:t>p</w:t>
      </w:r>
      <w:r w:rsidRPr="00B27930">
        <w:rPr>
          <w:rFonts w:ascii="Times New Roman" w:hAnsi="Times New Roman" w:cs="Times New Roman"/>
          <w:sz w:val="24"/>
        </w:rPr>
        <w:t xml:space="preserve">p. </w:t>
      </w:r>
    </w:p>
    <w:p w:rsidR="003B3023" w:rsidRPr="00B27930" w:rsidRDefault="003B3023" w:rsidP="00C74E2A">
      <w:pPr>
        <w:spacing w:line="360" w:lineRule="auto"/>
        <w:ind w:left="567" w:hanging="567"/>
        <w:jc w:val="both"/>
        <w:rPr>
          <w:rFonts w:ascii="Times New Roman" w:hAnsi="Times New Roman" w:cs="Times New Roman"/>
          <w:sz w:val="24"/>
        </w:rPr>
      </w:pPr>
      <w:r w:rsidRPr="00B27930">
        <w:rPr>
          <w:rFonts w:ascii="Times New Roman" w:hAnsi="Times New Roman" w:cs="Times New Roman"/>
          <w:sz w:val="24"/>
        </w:rPr>
        <w:t xml:space="preserve">MACARRÓN LARUMBE, A. (2012): </w:t>
      </w:r>
      <w:r w:rsidRPr="00667DCD">
        <w:rPr>
          <w:rFonts w:ascii="Times New Roman" w:hAnsi="Times New Roman" w:cs="Times New Roman"/>
          <w:sz w:val="24"/>
        </w:rPr>
        <w:t>«</w:t>
      </w:r>
      <w:r w:rsidRPr="00B27930">
        <w:rPr>
          <w:rFonts w:ascii="Times New Roman" w:hAnsi="Times New Roman" w:cs="Times New Roman"/>
          <w:sz w:val="24"/>
        </w:rPr>
        <w:t>El declive demográfico europeo, ¿quién pagará nuestras pensiones?</w:t>
      </w:r>
      <w:r w:rsidRPr="00667DCD">
        <w:rPr>
          <w:rFonts w:ascii="Times New Roman" w:hAnsi="Times New Roman" w:cs="Times New Roman"/>
          <w:sz w:val="24"/>
        </w:rPr>
        <w:t>»</w:t>
      </w:r>
      <w:r w:rsidRPr="00B27930">
        <w:rPr>
          <w:rFonts w:ascii="Times New Roman" w:hAnsi="Times New Roman" w:cs="Times New Roman"/>
          <w:sz w:val="24"/>
        </w:rPr>
        <w:t xml:space="preserve"> Seminario organizado por la Fundación Concordia, 42 p</w:t>
      </w:r>
      <w:r w:rsidR="000C2469">
        <w:rPr>
          <w:rFonts w:ascii="Times New Roman" w:hAnsi="Times New Roman" w:cs="Times New Roman"/>
          <w:sz w:val="24"/>
        </w:rPr>
        <w:t>p</w:t>
      </w:r>
      <w:r w:rsidRPr="00B27930">
        <w:rPr>
          <w:rFonts w:ascii="Times New Roman" w:hAnsi="Times New Roman" w:cs="Times New Roman"/>
          <w:sz w:val="24"/>
        </w:rPr>
        <w:t>.</w:t>
      </w:r>
    </w:p>
    <w:p w:rsidR="003B3023" w:rsidRDefault="003B3023" w:rsidP="00C74E2A">
      <w:pPr>
        <w:spacing w:line="360" w:lineRule="auto"/>
        <w:ind w:left="567" w:hanging="567"/>
        <w:jc w:val="both"/>
        <w:rPr>
          <w:rFonts w:ascii="Times New Roman" w:hAnsi="Times New Roman" w:cs="Times New Roman"/>
          <w:sz w:val="24"/>
        </w:rPr>
      </w:pPr>
      <w:r w:rsidRPr="00B27930">
        <w:rPr>
          <w:rFonts w:ascii="Times New Roman" w:hAnsi="Times New Roman" w:cs="Times New Roman"/>
          <w:sz w:val="24"/>
        </w:rPr>
        <w:t xml:space="preserve">MONLLOR DOMÍNGUEZ, C. y GÓMEZ FAYRÉN, J. (2004): </w:t>
      </w:r>
      <w:r w:rsidR="000C2469" w:rsidRPr="00B27930">
        <w:rPr>
          <w:rFonts w:ascii="Times New Roman" w:hAnsi="Times New Roman" w:cs="Times New Roman"/>
          <w:i/>
          <w:sz w:val="24"/>
        </w:rPr>
        <w:t>NIMBUS</w:t>
      </w:r>
      <w:r w:rsidR="000C2469">
        <w:rPr>
          <w:rFonts w:ascii="Times New Roman" w:hAnsi="Times New Roman" w:cs="Times New Roman"/>
          <w:i/>
          <w:sz w:val="24"/>
        </w:rPr>
        <w:t>.</w:t>
      </w:r>
      <w:r w:rsidR="000C2469" w:rsidRPr="00667DCD">
        <w:rPr>
          <w:rFonts w:ascii="Times New Roman" w:hAnsi="Times New Roman" w:cs="Times New Roman"/>
          <w:sz w:val="24"/>
        </w:rPr>
        <w:t xml:space="preserve"> </w:t>
      </w:r>
      <w:r w:rsidRPr="00667DCD">
        <w:rPr>
          <w:rFonts w:ascii="Times New Roman" w:hAnsi="Times New Roman" w:cs="Times New Roman"/>
          <w:sz w:val="24"/>
        </w:rPr>
        <w:t>«</w:t>
      </w:r>
      <w:r w:rsidRPr="00B27930">
        <w:rPr>
          <w:rFonts w:ascii="Times New Roman" w:hAnsi="Times New Roman" w:cs="Times New Roman"/>
          <w:sz w:val="24"/>
        </w:rPr>
        <w:t>La natalidad y la fecundidad de la población inmigrante en España</w:t>
      </w:r>
      <w:r w:rsidRPr="00667DCD">
        <w:rPr>
          <w:rFonts w:ascii="Times New Roman" w:hAnsi="Times New Roman" w:cs="Times New Roman"/>
          <w:sz w:val="24"/>
        </w:rPr>
        <w:t>»</w:t>
      </w:r>
      <w:r w:rsidRPr="00B27930">
        <w:rPr>
          <w:rFonts w:ascii="Times New Roman" w:hAnsi="Times New Roman" w:cs="Times New Roman"/>
          <w:sz w:val="24"/>
        </w:rPr>
        <w:t>. 13-14, pp. 143-165.</w:t>
      </w:r>
    </w:p>
    <w:p w:rsidR="003B3023" w:rsidRPr="004E63F8" w:rsidRDefault="003B3023" w:rsidP="00C74E2A">
      <w:pPr>
        <w:spacing w:line="360" w:lineRule="auto"/>
        <w:ind w:left="567" w:hanging="567"/>
        <w:jc w:val="both"/>
        <w:rPr>
          <w:rFonts w:ascii="Times New Roman" w:hAnsi="Times New Roman" w:cs="Times New Roman"/>
          <w:sz w:val="24"/>
        </w:rPr>
      </w:pPr>
      <w:r w:rsidRPr="004E63F8">
        <w:rPr>
          <w:rFonts w:ascii="Times New Roman" w:hAnsi="Times New Roman" w:cs="Times New Roman"/>
          <w:sz w:val="24"/>
        </w:rPr>
        <w:t xml:space="preserve">MONTORO, C. (2013): </w:t>
      </w:r>
      <w:r w:rsidR="000C2469" w:rsidRPr="004E63F8">
        <w:rPr>
          <w:rFonts w:ascii="Times New Roman" w:hAnsi="Times New Roman" w:cs="Times New Roman"/>
          <w:i/>
          <w:sz w:val="24"/>
        </w:rPr>
        <w:t>Servicio de Publicaciones de la Universidad de Navarra</w:t>
      </w:r>
      <w:r w:rsidR="000C2469">
        <w:rPr>
          <w:rFonts w:ascii="Times New Roman" w:hAnsi="Times New Roman" w:cs="Times New Roman"/>
          <w:i/>
          <w:sz w:val="24"/>
        </w:rPr>
        <w:t>.</w:t>
      </w:r>
      <w:r w:rsidR="000C2469" w:rsidRPr="004E63F8">
        <w:rPr>
          <w:rFonts w:ascii="Times New Roman" w:hAnsi="Times New Roman" w:cs="Times New Roman"/>
          <w:sz w:val="24"/>
        </w:rPr>
        <w:t xml:space="preserve"> </w:t>
      </w:r>
      <w:r w:rsidRPr="004E63F8">
        <w:rPr>
          <w:rFonts w:ascii="Times New Roman" w:hAnsi="Times New Roman" w:cs="Times New Roman"/>
          <w:sz w:val="24"/>
        </w:rPr>
        <w:t xml:space="preserve">«Relaciones entre familia y trabajo: Un análisis de la realidad española a partir de la Encuesta </w:t>
      </w:r>
      <w:r>
        <w:rPr>
          <w:rFonts w:ascii="Times New Roman" w:hAnsi="Times New Roman" w:cs="Times New Roman"/>
          <w:sz w:val="24"/>
        </w:rPr>
        <w:t>‘</w:t>
      </w:r>
      <w:r w:rsidRPr="004E63F8">
        <w:rPr>
          <w:rFonts w:ascii="Times New Roman" w:hAnsi="Times New Roman" w:cs="Times New Roman"/>
          <w:iCs/>
          <w:sz w:val="24"/>
        </w:rPr>
        <w:t>La familia, recurso de la sociedad</w:t>
      </w:r>
      <w:r>
        <w:rPr>
          <w:rFonts w:ascii="Times New Roman" w:hAnsi="Times New Roman" w:cs="Times New Roman"/>
          <w:iCs/>
          <w:sz w:val="24"/>
        </w:rPr>
        <w:t>’</w:t>
      </w:r>
      <w:r w:rsidRPr="004E63F8">
        <w:rPr>
          <w:rFonts w:ascii="Times New Roman" w:hAnsi="Times New Roman" w:cs="Times New Roman"/>
          <w:sz w:val="24"/>
        </w:rPr>
        <w:t>».</w:t>
      </w:r>
      <w:r>
        <w:rPr>
          <w:rFonts w:ascii="Times New Roman" w:hAnsi="Times New Roman" w:cs="Times New Roman"/>
          <w:sz w:val="24"/>
        </w:rPr>
        <w:t xml:space="preserve"> </w:t>
      </w:r>
      <w:r w:rsidRPr="004E63F8">
        <w:rPr>
          <w:rFonts w:ascii="Times New Roman" w:hAnsi="Times New Roman" w:cs="Times New Roman"/>
          <w:sz w:val="24"/>
        </w:rPr>
        <w:t>17</w:t>
      </w:r>
      <w:r>
        <w:rPr>
          <w:rFonts w:ascii="Times New Roman" w:hAnsi="Times New Roman" w:cs="Times New Roman"/>
          <w:sz w:val="24"/>
        </w:rPr>
        <w:t xml:space="preserve">, </w:t>
      </w:r>
      <w:r w:rsidRPr="004E63F8">
        <w:rPr>
          <w:rFonts w:ascii="Times New Roman" w:hAnsi="Times New Roman" w:cs="Times New Roman"/>
          <w:sz w:val="24"/>
        </w:rPr>
        <w:t>Pamplona</w:t>
      </w:r>
      <w:r>
        <w:rPr>
          <w:rFonts w:ascii="Times New Roman" w:hAnsi="Times New Roman" w:cs="Times New Roman"/>
          <w:sz w:val="24"/>
        </w:rPr>
        <w:t>,</w:t>
      </w:r>
      <w:r w:rsidRPr="004E63F8">
        <w:rPr>
          <w:rFonts w:ascii="Times New Roman" w:hAnsi="Times New Roman" w:cs="Times New Roman"/>
          <w:sz w:val="24"/>
        </w:rPr>
        <w:t xml:space="preserve"> pp. 125-155.</w:t>
      </w:r>
    </w:p>
    <w:p w:rsidR="003B3023" w:rsidRPr="00B27930" w:rsidRDefault="003B3023" w:rsidP="00C74E2A">
      <w:pPr>
        <w:spacing w:line="360" w:lineRule="auto"/>
        <w:ind w:left="567" w:hanging="567"/>
        <w:jc w:val="both"/>
        <w:rPr>
          <w:rFonts w:ascii="Times New Roman" w:hAnsi="Times New Roman" w:cs="Times New Roman"/>
          <w:sz w:val="24"/>
        </w:rPr>
      </w:pPr>
      <w:r w:rsidRPr="00B27930">
        <w:rPr>
          <w:rFonts w:ascii="Times New Roman" w:hAnsi="Times New Roman" w:cs="Times New Roman"/>
          <w:sz w:val="24"/>
        </w:rPr>
        <w:t xml:space="preserve">MUÑOZ DE BUSTILLO, R. (2007): </w:t>
      </w:r>
      <w:r w:rsidR="000C2469" w:rsidRPr="00B27930">
        <w:rPr>
          <w:rFonts w:ascii="Times New Roman" w:hAnsi="Times New Roman" w:cs="Times New Roman"/>
          <w:i/>
          <w:sz w:val="24"/>
        </w:rPr>
        <w:t>Ministerio de trabajo y Asuntos Sociales</w:t>
      </w:r>
      <w:r w:rsidR="000C2469">
        <w:rPr>
          <w:rFonts w:ascii="Times New Roman" w:hAnsi="Times New Roman" w:cs="Times New Roman"/>
          <w:i/>
          <w:sz w:val="24"/>
        </w:rPr>
        <w:t>.</w:t>
      </w:r>
      <w:r w:rsidR="000C2469" w:rsidRPr="00667DCD">
        <w:rPr>
          <w:rFonts w:ascii="Times New Roman" w:hAnsi="Times New Roman" w:cs="Times New Roman"/>
          <w:sz w:val="24"/>
        </w:rPr>
        <w:t xml:space="preserve"> </w:t>
      </w:r>
      <w:r w:rsidRPr="00667DCD">
        <w:rPr>
          <w:rFonts w:ascii="Times New Roman" w:hAnsi="Times New Roman" w:cs="Times New Roman"/>
          <w:sz w:val="24"/>
        </w:rPr>
        <w:t>«</w:t>
      </w:r>
      <w:r w:rsidRPr="00B27930">
        <w:rPr>
          <w:rFonts w:ascii="Times New Roman" w:hAnsi="Times New Roman" w:cs="Times New Roman"/>
          <w:sz w:val="24"/>
        </w:rPr>
        <w:t>Extensión de la vida laboral o inserción temprana de jóvenes. Alternativas al sistema de pensiones</w:t>
      </w:r>
      <w:r w:rsidRPr="00667DCD">
        <w:rPr>
          <w:rFonts w:ascii="Times New Roman" w:hAnsi="Times New Roman" w:cs="Times New Roman"/>
          <w:sz w:val="24"/>
        </w:rPr>
        <w:t>»</w:t>
      </w:r>
      <w:r w:rsidRPr="00B27930">
        <w:rPr>
          <w:rFonts w:ascii="Times New Roman" w:hAnsi="Times New Roman" w:cs="Times New Roman"/>
          <w:sz w:val="24"/>
        </w:rPr>
        <w:t>. Madrid, pp. 188-190.</w:t>
      </w:r>
    </w:p>
    <w:p w:rsidR="002960A9" w:rsidRPr="00B27930" w:rsidRDefault="002960A9" w:rsidP="00C74E2A">
      <w:pPr>
        <w:spacing w:line="360" w:lineRule="auto"/>
        <w:ind w:left="567" w:hanging="567"/>
        <w:jc w:val="both"/>
        <w:rPr>
          <w:rFonts w:ascii="Times New Roman" w:hAnsi="Times New Roman" w:cs="Times New Roman"/>
          <w:sz w:val="24"/>
        </w:rPr>
      </w:pPr>
      <w:r w:rsidRPr="00B27930">
        <w:rPr>
          <w:rFonts w:ascii="Times New Roman" w:hAnsi="Times New Roman" w:cs="Times New Roman"/>
          <w:sz w:val="24"/>
        </w:rPr>
        <w:lastRenderedPageBreak/>
        <w:t xml:space="preserve">PELÁEZ HERREROS, Ó. (2008): </w:t>
      </w:r>
      <w:r w:rsidRPr="00B27930">
        <w:rPr>
          <w:rFonts w:ascii="Times New Roman" w:hAnsi="Times New Roman" w:cs="Times New Roman"/>
          <w:i/>
          <w:sz w:val="24"/>
        </w:rPr>
        <w:t>Principios: Estudios de Economía Política</w:t>
      </w:r>
      <w:r>
        <w:rPr>
          <w:rFonts w:ascii="Times New Roman" w:hAnsi="Times New Roman" w:cs="Times New Roman"/>
          <w:i/>
          <w:sz w:val="24"/>
        </w:rPr>
        <w:t>.</w:t>
      </w:r>
      <w:r w:rsidRPr="00667DCD">
        <w:rPr>
          <w:rFonts w:ascii="Times New Roman" w:hAnsi="Times New Roman" w:cs="Times New Roman"/>
          <w:sz w:val="24"/>
        </w:rPr>
        <w:t xml:space="preserve"> «</w:t>
      </w:r>
      <w:r w:rsidRPr="00B27930">
        <w:rPr>
          <w:rFonts w:ascii="Times New Roman" w:hAnsi="Times New Roman" w:cs="Times New Roman"/>
          <w:sz w:val="24"/>
        </w:rPr>
        <w:t>Evolución del gasto en pensiones contributivas en España bajo distintos escenarios demográficos (2007-2050)</w:t>
      </w:r>
      <w:r w:rsidRPr="00667DCD">
        <w:rPr>
          <w:rFonts w:ascii="Times New Roman" w:hAnsi="Times New Roman" w:cs="Times New Roman"/>
          <w:sz w:val="24"/>
        </w:rPr>
        <w:t>»</w:t>
      </w:r>
      <w:r w:rsidRPr="00B27930">
        <w:rPr>
          <w:rFonts w:ascii="Times New Roman" w:hAnsi="Times New Roman" w:cs="Times New Roman"/>
          <w:sz w:val="24"/>
        </w:rPr>
        <w:t>. 12, pp. 45-60.</w:t>
      </w:r>
    </w:p>
    <w:p w:rsidR="002960A9" w:rsidRPr="00DF15D7" w:rsidRDefault="002960A9" w:rsidP="00C920DD">
      <w:pPr>
        <w:spacing w:line="360" w:lineRule="auto"/>
        <w:ind w:left="567" w:hanging="567"/>
        <w:jc w:val="both"/>
      </w:pPr>
      <w:commentRangeStart w:id="24"/>
      <w:r>
        <w:rPr>
          <w:rFonts w:ascii="Times New Roman" w:hAnsi="Times New Roman" w:cs="Times New Roman"/>
          <w:sz w:val="24"/>
        </w:rPr>
        <w:t xml:space="preserve">PÉREZ DÍAZ, A. y LECO BERROCAL, F. (2011): </w:t>
      </w:r>
      <w:r>
        <w:rPr>
          <w:rFonts w:ascii="Times New Roman" w:hAnsi="Times New Roman" w:cs="Times New Roman"/>
          <w:i/>
          <w:sz w:val="24"/>
        </w:rPr>
        <w:t>Geographicalia</w:t>
      </w:r>
      <w:r>
        <w:rPr>
          <w:rFonts w:ascii="Times New Roman" w:hAnsi="Times New Roman" w:cs="Times New Roman"/>
          <w:sz w:val="24"/>
        </w:rPr>
        <w:t>.</w:t>
      </w:r>
      <w:r w:rsidRPr="00DF15D7">
        <w:rPr>
          <w:rFonts w:ascii="Times New Roman" w:hAnsi="Times New Roman" w:cs="Times New Roman"/>
          <w:sz w:val="24"/>
        </w:rPr>
        <w:t xml:space="preserve"> «</w:t>
      </w:r>
      <w:r>
        <w:rPr>
          <w:rFonts w:ascii="Times New Roman" w:hAnsi="Times New Roman" w:cs="Times New Roman"/>
          <w:sz w:val="24"/>
        </w:rPr>
        <w:t>Envejecimiento, estancamiento poblacional y perspectivas demográficas en Extremadura</w:t>
      </w:r>
      <w:r w:rsidRPr="00DF15D7">
        <w:rPr>
          <w:rFonts w:ascii="Times New Roman" w:hAnsi="Times New Roman" w:cs="Times New Roman"/>
          <w:sz w:val="24"/>
        </w:rPr>
        <w:t>»</w:t>
      </w:r>
      <w:r>
        <w:rPr>
          <w:rFonts w:ascii="Times New Roman" w:hAnsi="Times New Roman" w:cs="Times New Roman"/>
          <w:sz w:val="24"/>
        </w:rPr>
        <w:t>. 59-60, pp. 309-321.</w:t>
      </w:r>
      <w:commentRangeEnd w:id="24"/>
      <w:r>
        <w:rPr>
          <w:rStyle w:val="Refdecomentario"/>
        </w:rPr>
        <w:commentReference w:id="24"/>
      </w:r>
    </w:p>
    <w:p w:rsidR="002960A9" w:rsidRDefault="002960A9" w:rsidP="00C920DD">
      <w:pPr>
        <w:spacing w:line="360" w:lineRule="auto"/>
        <w:ind w:left="567" w:hanging="567"/>
        <w:jc w:val="both"/>
        <w:rPr>
          <w:rFonts w:ascii="Times New Roman" w:hAnsi="Times New Roman" w:cs="Times New Roman"/>
          <w:sz w:val="24"/>
        </w:rPr>
      </w:pPr>
      <w:r>
        <w:rPr>
          <w:rFonts w:ascii="Times New Roman" w:hAnsi="Times New Roman" w:cs="Times New Roman"/>
          <w:sz w:val="24"/>
        </w:rPr>
        <w:t xml:space="preserve">REQUES, P. (2006): </w:t>
      </w:r>
      <w:r w:rsidRPr="00667DCD">
        <w:rPr>
          <w:rFonts w:ascii="Times New Roman" w:hAnsi="Times New Roman" w:cs="Times New Roman"/>
          <w:sz w:val="24"/>
        </w:rPr>
        <w:t>«</w:t>
      </w:r>
      <w:r>
        <w:rPr>
          <w:rFonts w:ascii="Times New Roman" w:hAnsi="Times New Roman" w:cs="Times New Roman"/>
          <w:sz w:val="24"/>
        </w:rPr>
        <w:t>Geodemografía: Fundamentos conceptuales y metodológicos</w:t>
      </w:r>
      <w:r w:rsidRPr="00667DCD">
        <w:rPr>
          <w:rFonts w:ascii="Times New Roman" w:hAnsi="Times New Roman" w:cs="Times New Roman"/>
          <w:sz w:val="24"/>
        </w:rPr>
        <w:t>»</w:t>
      </w:r>
      <w:r>
        <w:rPr>
          <w:rFonts w:ascii="Times New Roman" w:hAnsi="Times New Roman" w:cs="Times New Roman"/>
          <w:sz w:val="24"/>
        </w:rPr>
        <w:t>. Santander, Universidad de Cantabria, 310 pp.</w:t>
      </w:r>
    </w:p>
    <w:p w:rsidR="002960A9" w:rsidRDefault="002960A9" w:rsidP="00C920DD">
      <w:pPr>
        <w:spacing w:line="360" w:lineRule="auto"/>
        <w:ind w:left="567" w:hanging="567"/>
        <w:jc w:val="both"/>
        <w:rPr>
          <w:rFonts w:ascii="Times New Roman" w:hAnsi="Times New Roman" w:cs="Times New Roman"/>
          <w:sz w:val="24"/>
        </w:rPr>
      </w:pPr>
      <w:commentRangeStart w:id="25"/>
      <w:r>
        <w:rPr>
          <w:rFonts w:ascii="Times New Roman" w:hAnsi="Times New Roman" w:cs="Times New Roman"/>
          <w:sz w:val="24"/>
        </w:rPr>
        <w:t xml:space="preserve">RUBIERA, F. (2014): </w:t>
      </w:r>
      <w:r w:rsidRPr="00806857">
        <w:rPr>
          <w:rFonts w:ascii="Times New Roman" w:hAnsi="Times New Roman" w:cs="Times New Roman"/>
          <w:sz w:val="24"/>
        </w:rPr>
        <w:t>«</w:t>
      </w:r>
      <w:r>
        <w:rPr>
          <w:rFonts w:ascii="Times New Roman" w:hAnsi="Times New Roman" w:cs="Times New Roman"/>
          <w:sz w:val="24"/>
        </w:rPr>
        <w:t>Análisis de la situación y perspectivas demográficas del principado de Asturias y revisión de las políticas aplicadas en Europa para el diseño de una agenda demográfica</w:t>
      </w:r>
      <w:r w:rsidRPr="00806857">
        <w:rPr>
          <w:rFonts w:ascii="Times New Roman" w:hAnsi="Times New Roman" w:cs="Times New Roman"/>
          <w:sz w:val="24"/>
        </w:rPr>
        <w:t>»</w:t>
      </w:r>
      <w:r>
        <w:rPr>
          <w:rFonts w:ascii="Times New Roman" w:hAnsi="Times New Roman" w:cs="Times New Roman"/>
          <w:sz w:val="24"/>
        </w:rPr>
        <w:t>. Oviedo, 56 pp.</w:t>
      </w:r>
      <w:commentRangeEnd w:id="25"/>
      <w:r w:rsidR="00464CDC">
        <w:rPr>
          <w:rStyle w:val="Refdecomentario"/>
        </w:rPr>
        <w:commentReference w:id="25"/>
      </w:r>
    </w:p>
    <w:p w:rsidR="003B3023" w:rsidRPr="00B27930" w:rsidRDefault="003B3023" w:rsidP="00C74E2A">
      <w:pPr>
        <w:spacing w:line="360" w:lineRule="auto"/>
        <w:ind w:left="567" w:hanging="567"/>
        <w:jc w:val="both"/>
        <w:rPr>
          <w:rFonts w:ascii="Times New Roman" w:hAnsi="Times New Roman" w:cs="Times New Roman"/>
          <w:sz w:val="24"/>
        </w:rPr>
      </w:pPr>
      <w:r w:rsidRPr="00B27930">
        <w:rPr>
          <w:rFonts w:ascii="Times New Roman" w:hAnsi="Times New Roman" w:cs="Times New Roman"/>
          <w:sz w:val="24"/>
        </w:rPr>
        <w:t xml:space="preserve">SÁNCHEZ FERNÁNDEZ, J. y SÁNCHEZ MALDONADO, J. (2008): </w:t>
      </w:r>
      <w:r w:rsidR="000C2469" w:rsidRPr="00B27930">
        <w:rPr>
          <w:rFonts w:ascii="Times New Roman" w:hAnsi="Times New Roman" w:cs="Times New Roman"/>
          <w:i/>
          <w:sz w:val="24"/>
        </w:rPr>
        <w:t>Estadística española</w:t>
      </w:r>
      <w:r w:rsidR="000C2469">
        <w:rPr>
          <w:rFonts w:ascii="Times New Roman" w:hAnsi="Times New Roman" w:cs="Times New Roman"/>
          <w:i/>
          <w:sz w:val="24"/>
        </w:rPr>
        <w:t>.</w:t>
      </w:r>
      <w:r w:rsidR="000C2469" w:rsidRPr="00667DCD">
        <w:rPr>
          <w:rFonts w:ascii="Times New Roman" w:hAnsi="Times New Roman" w:cs="Times New Roman"/>
          <w:sz w:val="24"/>
        </w:rPr>
        <w:t xml:space="preserve"> </w:t>
      </w:r>
      <w:r w:rsidRPr="00667DCD">
        <w:rPr>
          <w:rFonts w:ascii="Times New Roman" w:hAnsi="Times New Roman" w:cs="Times New Roman"/>
          <w:sz w:val="24"/>
        </w:rPr>
        <w:t>«</w:t>
      </w:r>
      <w:r w:rsidRPr="00B27930">
        <w:rPr>
          <w:rFonts w:ascii="Times New Roman" w:hAnsi="Times New Roman" w:cs="Times New Roman"/>
          <w:sz w:val="24"/>
        </w:rPr>
        <w:t>Fecundidad y actividad económica de las mujeres en España</w:t>
      </w:r>
      <w:r w:rsidRPr="00667DCD">
        <w:rPr>
          <w:rFonts w:ascii="Times New Roman" w:hAnsi="Times New Roman" w:cs="Times New Roman"/>
          <w:sz w:val="24"/>
        </w:rPr>
        <w:t>»</w:t>
      </w:r>
      <w:r w:rsidRPr="00B27930">
        <w:rPr>
          <w:rFonts w:ascii="Times New Roman" w:hAnsi="Times New Roman" w:cs="Times New Roman"/>
          <w:sz w:val="24"/>
        </w:rPr>
        <w:t>.</w:t>
      </w:r>
      <w:r>
        <w:rPr>
          <w:rFonts w:ascii="Times New Roman" w:hAnsi="Times New Roman" w:cs="Times New Roman"/>
          <w:sz w:val="24"/>
        </w:rPr>
        <w:t xml:space="preserve"> </w:t>
      </w:r>
      <w:r w:rsidR="000C2469">
        <w:rPr>
          <w:rFonts w:ascii="Times New Roman" w:hAnsi="Times New Roman" w:cs="Times New Roman"/>
          <w:sz w:val="24"/>
        </w:rPr>
        <w:t>V</w:t>
      </w:r>
      <w:r>
        <w:rPr>
          <w:rFonts w:ascii="Times New Roman" w:hAnsi="Times New Roman" w:cs="Times New Roman"/>
          <w:sz w:val="24"/>
        </w:rPr>
        <w:t xml:space="preserve">ol. </w:t>
      </w:r>
      <w:r w:rsidRPr="00B27930">
        <w:rPr>
          <w:rFonts w:ascii="Times New Roman" w:hAnsi="Times New Roman" w:cs="Times New Roman"/>
          <w:sz w:val="24"/>
        </w:rPr>
        <w:t>50, 169, Universidad de Málaga</w:t>
      </w:r>
      <w:r>
        <w:rPr>
          <w:rFonts w:ascii="Times New Roman" w:hAnsi="Times New Roman" w:cs="Times New Roman"/>
          <w:sz w:val="24"/>
        </w:rPr>
        <w:t>,</w:t>
      </w:r>
      <w:r w:rsidRPr="00B27930">
        <w:rPr>
          <w:rFonts w:ascii="Times New Roman" w:hAnsi="Times New Roman" w:cs="Times New Roman"/>
          <w:sz w:val="24"/>
        </w:rPr>
        <w:t xml:space="preserve"> pp. 431-453.</w:t>
      </w:r>
    </w:p>
    <w:p w:rsidR="00F95EFE" w:rsidRDefault="003B3023" w:rsidP="00C74E2A">
      <w:pPr>
        <w:spacing w:line="360" w:lineRule="auto"/>
        <w:ind w:left="567" w:hanging="567"/>
        <w:jc w:val="both"/>
        <w:rPr>
          <w:rFonts w:ascii="Times New Roman" w:hAnsi="Times New Roman" w:cs="Times New Roman"/>
          <w:sz w:val="24"/>
        </w:rPr>
      </w:pPr>
      <w:r w:rsidRPr="00B27930">
        <w:rPr>
          <w:rFonts w:ascii="Times New Roman" w:hAnsi="Times New Roman" w:cs="Times New Roman"/>
          <w:sz w:val="24"/>
        </w:rPr>
        <w:t>SERRANO MARTÍNEZ, J.M. (</w:t>
      </w:r>
      <w:r>
        <w:rPr>
          <w:rFonts w:ascii="Times New Roman" w:hAnsi="Times New Roman" w:cs="Times New Roman"/>
          <w:sz w:val="24"/>
        </w:rPr>
        <w:t>1999</w:t>
      </w:r>
      <w:r w:rsidRPr="00B27930">
        <w:rPr>
          <w:rFonts w:ascii="Times New Roman" w:hAnsi="Times New Roman" w:cs="Times New Roman"/>
          <w:sz w:val="24"/>
        </w:rPr>
        <w:t xml:space="preserve">): </w:t>
      </w:r>
      <w:r w:rsidR="000C2469">
        <w:rPr>
          <w:rFonts w:ascii="Times New Roman" w:hAnsi="Times New Roman" w:cs="Times New Roman"/>
          <w:i/>
          <w:sz w:val="24"/>
        </w:rPr>
        <w:t>Immigrazione e territorio.</w:t>
      </w:r>
      <w:r w:rsidR="000C2469" w:rsidRPr="00667DCD">
        <w:rPr>
          <w:rFonts w:ascii="Times New Roman" w:hAnsi="Times New Roman" w:cs="Times New Roman"/>
          <w:sz w:val="24"/>
        </w:rPr>
        <w:t xml:space="preserve"> </w:t>
      </w:r>
      <w:r w:rsidRPr="00667DCD">
        <w:rPr>
          <w:rFonts w:ascii="Times New Roman" w:hAnsi="Times New Roman" w:cs="Times New Roman"/>
          <w:sz w:val="24"/>
        </w:rPr>
        <w:t>«</w:t>
      </w:r>
      <w:r>
        <w:rPr>
          <w:rFonts w:ascii="Times New Roman" w:hAnsi="Times New Roman" w:cs="Times New Roman"/>
          <w:sz w:val="24"/>
        </w:rPr>
        <w:t xml:space="preserve">Spagna: </w:t>
      </w:r>
      <w:r w:rsidRPr="00F076EA">
        <w:rPr>
          <w:rFonts w:ascii="Times New Roman" w:hAnsi="Times New Roman" w:cs="Times New Roman"/>
          <w:sz w:val="24"/>
        </w:rPr>
        <w:t>dall'emigrazione all'immigrazione, Prospettive future e nuove sfide del 2000</w:t>
      </w:r>
      <w:r w:rsidRPr="00667DCD">
        <w:rPr>
          <w:rFonts w:ascii="Times New Roman" w:hAnsi="Times New Roman" w:cs="Times New Roman"/>
          <w:sz w:val="24"/>
        </w:rPr>
        <w:t>»</w:t>
      </w:r>
      <w:r w:rsidR="00DF15D7">
        <w:rPr>
          <w:rFonts w:ascii="Times New Roman" w:hAnsi="Times New Roman" w:cs="Times New Roman"/>
          <w:sz w:val="24"/>
        </w:rPr>
        <w:t>.</w:t>
      </w:r>
      <w:r>
        <w:rPr>
          <w:rFonts w:ascii="Times New Roman" w:hAnsi="Times New Roman" w:cs="Times New Roman"/>
          <w:sz w:val="24"/>
        </w:rPr>
        <w:t xml:space="preserve"> Editorial Bolonia, pp. 43-73.</w:t>
      </w:r>
    </w:p>
    <w:p w:rsidR="003B3023" w:rsidRPr="00B27930" w:rsidRDefault="003B3023" w:rsidP="00C74E2A">
      <w:pPr>
        <w:spacing w:line="360" w:lineRule="auto"/>
        <w:ind w:left="567" w:hanging="567"/>
        <w:jc w:val="both"/>
        <w:rPr>
          <w:rFonts w:ascii="Times New Roman" w:hAnsi="Times New Roman" w:cs="Times New Roman"/>
          <w:sz w:val="24"/>
        </w:rPr>
      </w:pPr>
      <w:r w:rsidRPr="00B27930">
        <w:rPr>
          <w:rFonts w:ascii="Times New Roman" w:hAnsi="Times New Roman" w:cs="Times New Roman"/>
          <w:sz w:val="24"/>
        </w:rPr>
        <w:t xml:space="preserve">SERRANO MARTÍNEZ, J.M. (2010): </w:t>
      </w:r>
      <w:r w:rsidR="000C2469" w:rsidRPr="00B27930">
        <w:rPr>
          <w:rFonts w:ascii="Times New Roman" w:hAnsi="Times New Roman" w:cs="Times New Roman"/>
          <w:i/>
          <w:sz w:val="24"/>
        </w:rPr>
        <w:t>Migraciones</w:t>
      </w:r>
      <w:r w:rsidR="000C2469">
        <w:rPr>
          <w:rFonts w:ascii="Times New Roman" w:hAnsi="Times New Roman" w:cs="Times New Roman"/>
          <w:i/>
          <w:sz w:val="24"/>
        </w:rPr>
        <w:t>.</w:t>
      </w:r>
      <w:r w:rsidR="000C2469" w:rsidRPr="00667DCD">
        <w:rPr>
          <w:rFonts w:ascii="Times New Roman" w:hAnsi="Times New Roman" w:cs="Times New Roman"/>
          <w:sz w:val="24"/>
        </w:rPr>
        <w:t xml:space="preserve"> </w:t>
      </w:r>
      <w:r w:rsidRPr="00667DCD">
        <w:rPr>
          <w:rFonts w:ascii="Times New Roman" w:hAnsi="Times New Roman" w:cs="Times New Roman"/>
          <w:sz w:val="24"/>
        </w:rPr>
        <w:t>«</w:t>
      </w:r>
      <w:r w:rsidRPr="00B27930">
        <w:rPr>
          <w:rFonts w:ascii="Times New Roman" w:hAnsi="Times New Roman" w:cs="Times New Roman"/>
          <w:sz w:val="24"/>
        </w:rPr>
        <w:t>Dinámica de la población española: ¿Hacia qué horizonte en los flujos migratorios exteriores?</w:t>
      </w:r>
      <w:r w:rsidRPr="00667DCD">
        <w:rPr>
          <w:rFonts w:ascii="Times New Roman" w:hAnsi="Times New Roman" w:cs="Times New Roman"/>
          <w:sz w:val="24"/>
        </w:rPr>
        <w:t>»</w:t>
      </w:r>
      <w:r w:rsidR="000C2469">
        <w:rPr>
          <w:rFonts w:ascii="Times New Roman" w:hAnsi="Times New Roman" w:cs="Times New Roman"/>
          <w:sz w:val="24"/>
        </w:rPr>
        <w:t>.</w:t>
      </w:r>
      <w:r w:rsidRPr="00B27930">
        <w:rPr>
          <w:rFonts w:ascii="Times New Roman" w:hAnsi="Times New Roman" w:cs="Times New Roman"/>
          <w:sz w:val="24"/>
        </w:rPr>
        <w:t xml:space="preserve"> 28, pp. 11-53.</w:t>
      </w:r>
    </w:p>
    <w:p w:rsidR="003B3023" w:rsidRPr="00B27930" w:rsidRDefault="003B3023" w:rsidP="00C74E2A">
      <w:pPr>
        <w:spacing w:line="360" w:lineRule="auto"/>
        <w:ind w:left="567" w:hanging="567"/>
        <w:jc w:val="both"/>
        <w:rPr>
          <w:rFonts w:ascii="Times New Roman" w:hAnsi="Times New Roman" w:cs="Times New Roman"/>
          <w:sz w:val="24"/>
        </w:rPr>
      </w:pPr>
      <w:r w:rsidRPr="00B27930">
        <w:rPr>
          <w:rFonts w:ascii="Times New Roman" w:hAnsi="Times New Roman" w:cs="Times New Roman"/>
          <w:sz w:val="24"/>
        </w:rPr>
        <w:t xml:space="preserve">SERRANO MARTÍNEZ, J.M. y </w:t>
      </w:r>
      <w:r w:rsidRPr="00F95EFE">
        <w:rPr>
          <w:rFonts w:ascii="Times New Roman" w:hAnsi="Times New Roman" w:cs="Times New Roman"/>
          <w:caps/>
          <w:sz w:val="24"/>
        </w:rPr>
        <w:t>García Marín</w:t>
      </w:r>
      <w:r w:rsidRPr="00B27930">
        <w:rPr>
          <w:rFonts w:ascii="Times New Roman" w:hAnsi="Times New Roman" w:cs="Times New Roman"/>
          <w:sz w:val="24"/>
        </w:rPr>
        <w:t xml:space="preserve">, R. (2011): </w:t>
      </w:r>
      <w:r w:rsidR="000C2469" w:rsidRPr="00B27930">
        <w:rPr>
          <w:rFonts w:ascii="Times New Roman" w:hAnsi="Times New Roman" w:cs="Times New Roman"/>
          <w:i/>
          <w:sz w:val="24"/>
        </w:rPr>
        <w:t>Boletín Económico de ICE</w:t>
      </w:r>
      <w:r w:rsidR="000C2469">
        <w:rPr>
          <w:rFonts w:ascii="Times New Roman" w:hAnsi="Times New Roman" w:cs="Times New Roman"/>
          <w:i/>
          <w:sz w:val="24"/>
        </w:rPr>
        <w:t>.</w:t>
      </w:r>
      <w:r w:rsidR="000C2469" w:rsidRPr="00667DCD">
        <w:rPr>
          <w:rFonts w:ascii="Times New Roman" w:hAnsi="Times New Roman" w:cs="Times New Roman"/>
          <w:sz w:val="24"/>
        </w:rPr>
        <w:t xml:space="preserve"> </w:t>
      </w:r>
      <w:r w:rsidRPr="00667DCD">
        <w:rPr>
          <w:rFonts w:ascii="Times New Roman" w:hAnsi="Times New Roman" w:cs="Times New Roman"/>
          <w:sz w:val="24"/>
        </w:rPr>
        <w:t>«</w:t>
      </w:r>
      <w:r w:rsidRPr="00B27930">
        <w:rPr>
          <w:rFonts w:ascii="Times New Roman" w:hAnsi="Times New Roman" w:cs="Times New Roman"/>
          <w:sz w:val="24"/>
        </w:rPr>
        <w:t>Evolución de la población residente en España. Un proceso reciente dinámico, pero ¿con discontinuidad?</w:t>
      </w:r>
      <w:r w:rsidRPr="00667DCD">
        <w:rPr>
          <w:rFonts w:ascii="Times New Roman" w:hAnsi="Times New Roman" w:cs="Times New Roman"/>
          <w:sz w:val="24"/>
        </w:rPr>
        <w:t>»</w:t>
      </w:r>
      <w:r w:rsidR="000C2469">
        <w:rPr>
          <w:rFonts w:ascii="Times New Roman" w:hAnsi="Times New Roman" w:cs="Times New Roman"/>
          <w:sz w:val="24"/>
        </w:rPr>
        <w:t>.</w:t>
      </w:r>
      <w:r w:rsidRPr="00B27930">
        <w:rPr>
          <w:rFonts w:ascii="Times New Roman" w:hAnsi="Times New Roman" w:cs="Times New Roman"/>
          <w:sz w:val="24"/>
        </w:rPr>
        <w:t xml:space="preserve"> 3017, pp. 47-63.</w:t>
      </w:r>
    </w:p>
    <w:p w:rsidR="003B3023" w:rsidRPr="00DA37D1" w:rsidRDefault="003B3023" w:rsidP="00C74E2A">
      <w:pPr>
        <w:spacing w:line="360" w:lineRule="auto"/>
        <w:ind w:left="567" w:hanging="567"/>
        <w:jc w:val="both"/>
        <w:rPr>
          <w:rFonts w:ascii="Times New Roman" w:hAnsi="Times New Roman" w:cs="Times New Roman"/>
          <w:sz w:val="24"/>
          <w:lang w:val="en-US"/>
        </w:rPr>
      </w:pPr>
      <w:r w:rsidRPr="00B27930">
        <w:rPr>
          <w:rFonts w:ascii="Times New Roman" w:hAnsi="Times New Roman" w:cs="Times New Roman"/>
          <w:sz w:val="24"/>
        </w:rPr>
        <w:t xml:space="preserve">SERRANO MARTÍNEZ, J.M. y GARCÍA MARÍN, R. (2013): </w:t>
      </w:r>
      <w:r w:rsidR="000C2469" w:rsidRPr="00B27930">
        <w:rPr>
          <w:rFonts w:ascii="Times New Roman" w:hAnsi="Times New Roman" w:cs="Times New Roman"/>
          <w:i/>
          <w:sz w:val="24"/>
        </w:rPr>
        <w:t>Papeles de población</w:t>
      </w:r>
      <w:r w:rsidR="000C2469">
        <w:rPr>
          <w:rFonts w:ascii="Times New Roman" w:hAnsi="Times New Roman" w:cs="Times New Roman"/>
          <w:i/>
          <w:sz w:val="24"/>
        </w:rPr>
        <w:t>.</w:t>
      </w:r>
      <w:r w:rsidR="000C2469" w:rsidRPr="00667DCD">
        <w:rPr>
          <w:rFonts w:ascii="Times New Roman" w:hAnsi="Times New Roman" w:cs="Times New Roman"/>
          <w:sz w:val="24"/>
        </w:rPr>
        <w:t xml:space="preserve"> </w:t>
      </w:r>
      <w:r w:rsidRPr="00667DCD">
        <w:rPr>
          <w:rFonts w:ascii="Times New Roman" w:hAnsi="Times New Roman" w:cs="Times New Roman"/>
          <w:sz w:val="24"/>
        </w:rPr>
        <w:t>«</w:t>
      </w:r>
      <w:r w:rsidRPr="00B27930">
        <w:rPr>
          <w:rFonts w:ascii="Times New Roman" w:hAnsi="Times New Roman" w:cs="Times New Roman"/>
          <w:sz w:val="24"/>
        </w:rPr>
        <w:t>Regresión demográfica en España: crisis económica y cambio de ciclo migratorio</w:t>
      </w:r>
      <w:r w:rsidRPr="00667DCD">
        <w:rPr>
          <w:rFonts w:ascii="Times New Roman" w:hAnsi="Times New Roman" w:cs="Times New Roman"/>
          <w:sz w:val="24"/>
        </w:rPr>
        <w:t>»</w:t>
      </w:r>
      <w:r w:rsidRPr="00B27930">
        <w:rPr>
          <w:rFonts w:ascii="Times New Roman" w:hAnsi="Times New Roman" w:cs="Times New Roman"/>
          <w:sz w:val="24"/>
        </w:rPr>
        <w:t xml:space="preserve">. </w:t>
      </w:r>
      <w:r w:rsidR="000C2469" w:rsidRPr="00DA37D1">
        <w:rPr>
          <w:rFonts w:ascii="Times New Roman" w:hAnsi="Times New Roman" w:cs="Times New Roman"/>
          <w:sz w:val="24"/>
          <w:lang w:val="en-US"/>
        </w:rPr>
        <w:t>V</w:t>
      </w:r>
      <w:r w:rsidR="00C176F8">
        <w:rPr>
          <w:rFonts w:ascii="Times New Roman" w:hAnsi="Times New Roman" w:cs="Times New Roman"/>
          <w:sz w:val="24"/>
          <w:lang w:val="en-US"/>
        </w:rPr>
        <w:t>ol. 19, 76, pp. 89-128.</w:t>
      </w:r>
    </w:p>
    <w:p w:rsidR="009C7676" w:rsidRPr="009C7676" w:rsidRDefault="009C7676" w:rsidP="009C7676">
      <w:pPr>
        <w:spacing w:line="360" w:lineRule="auto"/>
        <w:ind w:left="567" w:hanging="567"/>
        <w:jc w:val="both"/>
        <w:rPr>
          <w:rFonts w:ascii="Times New Roman" w:hAnsi="Times New Roman" w:cs="Times New Roman"/>
          <w:sz w:val="24"/>
        </w:rPr>
      </w:pPr>
      <w:commentRangeStart w:id="26"/>
      <w:r w:rsidRPr="009C7676">
        <w:rPr>
          <w:rFonts w:ascii="Times New Roman" w:hAnsi="Times New Roman" w:cs="Times New Roman"/>
          <w:sz w:val="24"/>
          <w:lang w:val="en-US"/>
        </w:rPr>
        <w:t xml:space="preserve">UNITED NATIONS (2014): </w:t>
      </w:r>
      <w:r w:rsidRPr="009C7676">
        <w:rPr>
          <w:rFonts w:ascii="Times New Roman" w:hAnsi="Times New Roman" w:cs="Times New Roman"/>
          <w:i/>
          <w:sz w:val="24"/>
          <w:lang w:val="en-US"/>
        </w:rPr>
        <w:t>Department of Economic and Social Affairs Population Division</w:t>
      </w:r>
      <w:r>
        <w:rPr>
          <w:rFonts w:ascii="Times New Roman" w:hAnsi="Times New Roman" w:cs="Times New Roman"/>
          <w:sz w:val="24"/>
          <w:lang w:val="en-US"/>
        </w:rPr>
        <w:t xml:space="preserve">. </w:t>
      </w:r>
      <w:r w:rsidRPr="00DD29CC">
        <w:rPr>
          <w:rFonts w:ascii="Times New Roman" w:hAnsi="Times New Roman" w:cs="Times New Roman"/>
          <w:sz w:val="24"/>
        </w:rPr>
        <w:t>«</w:t>
      </w:r>
      <w:r w:rsidRPr="009C7676">
        <w:rPr>
          <w:rFonts w:ascii="Times New Roman" w:hAnsi="Times New Roman" w:cs="Times New Roman"/>
          <w:sz w:val="24"/>
        </w:rPr>
        <w:t>Concise Report on the</w:t>
      </w:r>
      <w:r>
        <w:rPr>
          <w:rFonts w:ascii="Times New Roman" w:hAnsi="Times New Roman" w:cs="Times New Roman"/>
          <w:sz w:val="24"/>
        </w:rPr>
        <w:t xml:space="preserve"> </w:t>
      </w:r>
      <w:r w:rsidRPr="009C7676">
        <w:rPr>
          <w:rFonts w:ascii="Times New Roman" w:hAnsi="Times New Roman" w:cs="Times New Roman"/>
          <w:sz w:val="24"/>
        </w:rPr>
        <w:t>World Population Situation</w:t>
      </w:r>
      <w:r>
        <w:rPr>
          <w:rFonts w:ascii="Times New Roman" w:hAnsi="Times New Roman" w:cs="Times New Roman"/>
          <w:sz w:val="24"/>
        </w:rPr>
        <w:t xml:space="preserve"> </w:t>
      </w:r>
      <w:r w:rsidRPr="009C7676">
        <w:rPr>
          <w:rFonts w:ascii="Times New Roman" w:hAnsi="Times New Roman" w:cs="Times New Roman"/>
          <w:sz w:val="24"/>
        </w:rPr>
        <w:t>in 2014»</w:t>
      </w:r>
      <w:r>
        <w:rPr>
          <w:rFonts w:ascii="Times New Roman" w:hAnsi="Times New Roman" w:cs="Times New Roman"/>
          <w:sz w:val="24"/>
        </w:rPr>
        <w:t>. 38 pp.</w:t>
      </w:r>
      <w:commentRangeEnd w:id="26"/>
      <w:r w:rsidR="00DA37D1">
        <w:rPr>
          <w:rStyle w:val="Refdecomentario"/>
        </w:rPr>
        <w:commentReference w:id="26"/>
      </w:r>
    </w:p>
    <w:p w:rsidR="004814BD" w:rsidRDefault="004814BD" w:rsidP="00C74E2A">
      <w:pPr>
        <w:spacing w:line="360" w:lineRule="auto"/>
        <w:ind w:left="567" w:hanging="567"/>
        <w:jc w:val="both"/>
        <w:rPr>
          <w:rFonts w:ascii="Times New Roman" w:hAnsi="Times New Roman" w:cs="Times New Roman"/>
          <w:sz w:val="24"/>
        </w:rPr>
      </w:pPr>
      <w:commentRangeStart w:id="27"/>
      <w:r>
        <w:rPr>
          <w:rFonts w:ascii="Times New Roman" w:hAnsi="Times New Roman" w:cs="Times New Roman"/>
          <w:sz w:val="24"/>
        </w:rPr>
        <w:t>VIDAL DOMÍNGUEZ, M.J. y FER</w:t>
      </w:r>
      <w:r w:rsidR="008D5089">
        <w:rPr>
          <w:rFonts w:ascii="Times New Roman" w:hAnsi="Times New Roman" w:cs="Times New Roman"/>
          <w:sz w:val="24"/>
        </w:rPr>
        <w:t>N</w:t>
      </w:r>
      <w:r>
        <w:rPr>
          <w:rFonts w:ascii="Times New Roman" w:hAnsi="Times New Roman" w:cs="Times New Roman"/>
          <w:sz w:val="24"/>
        </w:rPr>
        <w:t>ÁNDEZ PORTELA, J. (</w:t>
      </w:r>
      <w:r w:rsidR="00C35429">
        <w:rPr>
          <w:rFonts w:ascii="Times New Roman" w:hAnsi="Times New Roman" w:cs="Times New Roman"/>
          <w:sz w:val="24"/>
        </w:rPr>
        <w:t>2014</w:t>
      </w:r>
      <w:r>
        <w:rPr>
          <w:rFonts w:ascii="Times New Roman" w:hAnsi="Times New Roman" w:cs="Times New Roman"/>
          <w:sz w:val="24"/>
        </w:rPr>
        <w:t xml:space="preserve">): </w:t>
      </w:r>
      <w:r>
        <w:rPr>
          <w:rFonts w:ascii="Times New Roman" w:hAnsi="Times New Roman" w:cs="Times New Roman"/>
          <w:i/>
          <w:sz w:val="24"/>
        </w:rPr>
        <w:t>XIV Congreso Nacional de Población</w:t>
      </w:r>
      <w:r>
        <w:rPr>
          <w:rFonts w:ascii="Times New Roman" w:hAnsi="Times New Roman" w:cs="Times New Roman"/>
          <w:sz w:val="24"/>
        </w:rPr>
        <w:t xml:space="preserve">. </w:t>
      </w:r>
      <w:r w:rsidRPr="004814BD">
        <w:rPr>
          <w:rFonts w:ascii="Times New Roman" w:hAnsi="Times New Roman" w:cs="Times New Roman"/>
          <w:sz w:val="24"/>
        </w:rPr>
        <w:t>«</w:t>
      </w:r>
      <w:r>
        <w:rPr>
          <w:rFonts w:ascii="Times New Roman" w:hAnsi="Times New Roman" w:cs="Times New Roman"/>
          <w:sz w:val="24"/>
        </w:rPr>
        <w:t>Castilla León la comunidad más envejecida de España: Perspectiva actual</w:t>
      </w:r>
      <w:r w:rsidRPr="004814BD">
        <w:rPr>
          <w:rFonts w:ascii="Times New Roman" w:hAnsi="Times New Roman" w:cs="Times New Roman"/>
          <w:sz w:val="24"/>
        </w:rPr>
        <w:t>»</w:t>
      </w:r>
      <w:r>
        <w:rPr>
          <w:rFonts w:ascii="Times New Roman" w:hAnsi="Times New Roman" w:cs="Times New Roman"/>
          <w:sz w:val="24"/>
        </w:rPr>
        <w:t xml:space="preserve">. </w:t>
      </w:r>
      <w:r w:rsidR="00C35429">
        <w:rPr>
          <w:rFonts w:ascii="Times New Roman" w:hAnsi="Times New Roman" w:cs="Times New Roman"/>
          <w:sz w:val="24"/>
        </w:rPr>
        <w:t xml:space="preserve">Sevilla, </w:t>
      </w:r>
      <w:r>
        <w:rPr>
          <w:rFonts w:ascii="Times New Roman" w:hAnsi="Times New Roman" w:cs="Times New Roman"/>
          <w:sz w:val="24"/>
        </w:rPr>
        <w:t>pp. 95-107.</w:t>
      </w:r>
      <w:commentRangeEnd w:id="27"/>
      <w:r w:rsidR="00BB6705">
        <w:rPr>
          <w:rStyle w:val="Refdecomentario"/>
        </w:rPr>
        <w:commentReference w:id="27"/>
      </w:r>
    </w:p>
    <w:p w:rsidR="008E73E3" w:rsidRDefault="003B3023" w:rsidP="00C74E2A">
      <w:pPr>
        <w:spacing w:line="360" w:lineRule="auto"/>
        <w:ind w:left="567" w:hanging="567"/>
        <w:jc w:val="both"/>
        <w:rPr>
          <w:rFonts w:ascii="Times New Roman" w:hAnsi="Times New Roman" w:cs="Times New Roman"/>
          <w:sz w:val="24"/>
        </w:rPr>
      </w:pPr>
      <w:r w:rsidRPr="00B27930">
        <w:rPr>
          <w:rFonts w:ascii="Times New Roman" w:hAnsi="Times New Roman" w:cs="Times New Roman"/>
          <w:sz w:val="24"/>
        </w:rPr>
        <w:t xml:space="preserve">ZUBIRI ORIA, I. (2009): </w:t>
      </w:r>
      <w:r w:rsidR="000C2469" w:rsidRPr="00B27930">
        <w:rPr>
          <w:rFonts w:ascii="Times New Roman" w:hAnsi="Times New Roman" w:cs="Times New Roman"/>
          <w:i/>
          <w:sz w:val="24"/>
        </w:rPr>
        <w:t>Revista del Ministerio de Trabajo e Inmigración</w:t>
      </w:r>
      <w:r w:rsidR="000C2469">
        <w:rPr>
          <w:rFonts w:ascii="Times New Roman" w:hAnsi="Times New Roman" w:cs="Times New Roman"/>
          <w:i/>
          <w:sz w:val="24"/>
        </w:rPr>
        <w:t>.</w:t>
      </w:r>
      <w:r w:rsidR="000C2469" w:rsidRPr="00667DCD">
        <w:rPr>
          <w:rFonts w:ascii="Times New Roman" w:hAnsi="Times New Roman" w:cs="Times New Roman"/>
          <w:sz w:val="24"/>
        </w:rPr>
        <w:t xml:space="preserve"> </w:t>
      </w:r>
      <w:r w:rsidRPr="00667DCD">
        <w:rPr>
          <w:rFonts w:ascii="Times New Roman" w:hAnsi="Times New Roman" w:cs="Times New Roman"/>
          <w:sz w:val="24"/>
        </w:rPr>
        <w:t>«</w:t>
      </w:r>
      <w:r w:rsidRPr="00B27930">
        <w:rPr>
          <w:rFonts w:ascii="Times New Roman" w:hAnsi="Times New Roman" w:cs="Times New Roman"/>
          <w:sz w:val="24"/>
        </w:rPr>
        <w:t>El Sistema de Pensiones Español ante el reto del envejecimiento</w:t>
      </w:r>
      <w:r w:rsidRPr="00667DCD">
        <w:rPr>
          <w:rFonts w:ascii="Times New Roman" w:hAnsi="Times New Roman" w:cs="Times New Roman"/>
          <w:sz w:val="24"/>
        </w:rPr>
        <w:t>»</w:t>
      </w:r>
      <w:r w:rsidRPr="00B27930">
        <w:rPr>
          <w:rFonts w:ascii="Times New Roman" w:hAnsi="Times New Roman" w:cs="Times New Roman"/>
          <w:sz w:val="24"/>
        </w:rPr>
        <w:t>. 1, pp. 31-57.</w:t>
      </w:r>
    </w:p>
    <w:sectPr w:rsidR="008E73E3" w:rsidSect="00C53BF3">
      <w:footerReference w:type="default" r:id="rId25"/>
      <w:pgSz w:w="11906" w:h="16838"/>
      <w:pgMar w:top="1417" w:right="1701" w:bottom="1417" w:left="1701" w:header="708" w:footer="708" w:gutter="0"/>
      <w:cols w:space="708"/>
      <w:docGrid w:linePitch="36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comment w:id="0" w:author="K@®LØ$" w:date="2015-01-26T22:40:00Z" w:initials="C">
    <w:p w:rsidR="00BB6705" w:rsidRDefault="00BB6705">
      <w:pPr>
        <w:pStyle w:val="Textocomentario"/>
      </w:pPr>
      <w:r>
        <w:rPr>
          <w:rStyle w:val="Refdecomentario"/>
        </w:rPr>
        <w:annotationRef/>
      </w:r>
      <w:r>
        <w:t>Cambiado</w:t>
      </w:r>
    </w:p>
  </w:comment>
  <w:comment w:id="1" w:author="K@®LØ$" w:date="2015-02-15T17:42:00Z" w:initials="C">
    <w:p w:rsidR="00634CB2" w:rsidRDefault="00634CB2">
      <w:pPr>
        <w:pStyle w:val="Textocomentario"/>
      </w:pPr>
      <w:r>
        <w:rPr>
          <w:rStyle w:val="Refdecomentario"/>
        </w:rPr>
        <w:annotationRef/>
      </w:r>
      <w:r>
        <w:t>Añadido</w:t>
      </w:r>
    </w:p>
  </w:comment>
  <w:comment w:id="2" w:author="K@®LØ$" w:date="2015-01-27T00:45:00Z" w:initials="C">
    <w:p w:rsidR="00BB6705" w:rsidRDefault="00BB6705">
      <w:pPr>
        <w:pStyle w:val="Textocomentario"/>
      </w:pPr>
      <w:r>
        <w:rPr>
          <w:rStyle w:val="Refdecomentario"/>
        </w:rPr>
        <w:annotationRef/>
      </w:r>
      <w:r>
        <w:t>Añadido</w:t>
      </w:r>
    </w:p>
  </w:comment>
  <w:comment w:id="3" w:author="K@®LØ$" w:date="2015-02-14T19:04:00Z" w:initials="C">
    <w:p w:rsidR="00BB6705" w:rsidRDefault="00BB6705">
      <w:pPr>
        <w:pStyle w:val="Textocomentario"/>
      </w:pPr>
      <w:r>
        <w:rPr>
          <w:rStyle w:val="Refdecomentario"/>
        </w:rPr>
        <w:annotationRef/>
      </w:r>
      <w:r>
        <w:t>Añadido</w:t>
      </w:r>
    </w:p>
  </w:comment>
  <w:comment w:id="4" w:author="K@®LØ$" w:date="2015-02-01T00:29:00Z" w:initials="C">
    <w:p w:rsidR="00BB6705" w:rsidRDefault="00BB6705" w:rsidP="00D865FD">
      <w:pPr>
        <w:pStyle w:val="Textocomentario"/>
      </w:pPr>
      <w:r>
        <w:rPr>
          <w:rStyle w:val="Refdecomentario"/>
        </w:rPr>
        <w:annotationRef/>
      </w:r>
      <w:r>
        <w:t>Actualizado a 2014</w:t>
      </w:r>
    </w:p>
  </w:comment>
  <w:comment w:id="5" w:author="K@®LØ$" w:date="2015-02-01T00:32:00Z" w:initials="C">
    <w:p w:rsidR="00BB6705" w:rsidRDefault="00BB6705">
      <w:pPr>
        <w:pStyle w:val="Textocomentario"/>
      </w:pPr>
      <w:r>
        <w:rPr>
          <w:rStyle w:val="Refdecomentario"/>
        </w:rPr>
        <w:annotationRef/>
      </w:r>
      <w:r>
        <w:t>Añadido</w:t>
      </w:r>
    </w:p>
  </w:comment>
  <w:comment w:id="8" w:author="K@®LØ$" w:date="2015-02-15T18:19:00Z" w:initials="C">
    <w:p w:rsidR="00B24A6A" w:rsidRDefault="00B24A6A">
      <w:pPr>
        <w:pStyle w:val="Textocomentario"/>
      </w:pPr>
      <w:r>
        <w:rPr>
          <w:rStyle w:val="Refdecomentario"/>
        </w:rPr>
        <w:annotationRef/>
      </w:r>
      <w:r>
        <w:t>Añadido</w:t>
      </w:r>
    </w:p>
  </w:comment>
  <w:comment w:id="9" w:author="K@®LØ$" w:date="2015-01-27T00:49:00Z" w:initials="C">
    <w:p w:rsidR="00BB6705" w:rsidRDefault="00BB6705">
      <w:pPr>
        <w:pStyle w:val="Textocomentario"/>
      </w:pPr>
      <w:r>
        <w:rPr>
          <w:rStyle w:val="Refdecomentario"/>
        </w:rPr>
        <w:annotationRef/>
      </w:r>
      <w:r>
        <w:t>Actualizado a 2014</w:t>
      </w:r>
    </w:p>
  </w:comment>
  <w:comment w:id="10" w:author="K@®LØ$" w:date="2015-01-27T01:23:00Z" w:initials="C">
    <w:p w:rsidR="00BB6705" w:rsidRDefault="00BB6705">
      <w:pPr>
        <w:pStyle w:val="Textocomentario"/>
      </w:pPr>
      <w:r>
        <w:rPr>
          <w:rStyle w:val="Refdecomentario"/>
        </w:rPr>
        <w:annotationRef/>
      </w:r>
      <w:r>
        <w:t>Actualizado a 2013</w:t>
      </w:r>
    </w:p>
  </w:comment>
  <w:comment w:id="11" w:author="K@®LØ$" w:date="2015-01-27T23:10:00Z" w:initials="C">
    <w:p w:rsidR="00BB6705" w:rsidRDefault="00BB6705">
      <w:pPr>
        <w:pStyle w:val="Textocomentario"/>
      </w:pPr>
      <w:r>
        <w:rPr>
          <w:rStyle w:val="Refdecomentario"/>
        </w:rPr>
        <w:annotationRef/>
      </w:r>
      <w:r>
        <w:t>Actualizado a 2013</w:t>
      </w:r>
    </w:p>
  </w:comment>
  <w:comment w:id="12" w:author="K@®LØ$" w:date="2015-02-09T15:22:00Z" w:initials="C">
    <w:p w:rsidR="00BB6705" w:rsidRDefault="00BB6705">
      <w:pPr>
        <w:pStyle w:val="Textocomentario"/>
      </w:pPr>
      <w:r>
        <w:rPr>
          <w:rStyle w:val="Refdecomentario"/>
        </w:rPr>
        <w:annotationRef/>
      </w:r>
      <w:r>
        <w:t>Actualizado a 2013</w:t>
      </w:r>
    </w:p>
  </w:comment>
  <w:comment w:id="13" w:author="K@®LØ$" w:date="2015-02-14T20:02:00Z" w:initials="C">
    <w:p w:rsidR="00BB6705" w:rsidRDefault="00BB6705">
      <w:pPr>
        <w:pStyle w:val="Textocomentario"/>
      </w:pPr>
      <w:r>
        <w:rPr>
          <w:rStyle w:val="Refdecomentario"/>
        </w:rPr>
        <w:annotationRef/>
      </w:r>
      <w:r>
        <w:t>Añadido</w:t>
      </w:r>
    </w:p>
  </w:comment>
  <w:comment w:id="14" w:author="K@®LØ$" w:date="2015-01-27T00:52:00Z" w:initials="C">
    <w:p w:rsidR="00BB6705" w:rsidRDefault="00BB6705">
      <w:pPr>
        <w:pStyle w:val="Textocomentario"/>
      </w:pPr>
      <w:r>
        <w:rPr>
          <w:rStyle w:val="Refdecomentario"/>
        </w:rPr>
        <w:annotationRef/>
      </w:r>
      <w:r>
        <w:t>Actualizado a 2014</w:t>
      </w:r>
    </w:p>
  </w:comment>
  <w:comment w:id="15" w:author="K@®LØ$" w:date="2015-01-27T01:16:00Z" w:initials="C">
    <w:p w:rsidR="00BB6705" w:rsidRDefault="00BB6705">
      <w:pPr>
        <w:pStyle w:val="Textocomentario"/>
      </w:pPr>
      <w:r>
        <w:rPr>
          <w:rStyle w:val="Refdecomentario"/>
        </w:rPr>
        <w:annotationRef/>
      </w:r>
      <w:r>
        <w:t>Actualizado a 2014</w:t>
      </w:r>
    </w:p>
  </w:comment>
  <w:comment w:id="16" w:author="K@®LØ$" w:date="2015-01-26T22:52:00Z" w:initials="C">
    <w:p w:rsidR="00BB6705" w:rsidRDefault="00BB6705">
      <w:pPr>
        <w:pStyle w:val="Textocomentario"/>
      </w:pPr>
      <w:r>
        <w:rPr>
          <w:rStyle w:val="Refdecomentario"/>
        </w:rPr>
        <w:annotationRef/>
      </w:r>
      <w:r>
        <w:t>Actualizado a 2013</w:t>
      </w:r>
    </w:p>
  </w:comment>
  <w:comment w:id="17" w:author="K@®LØ$" w:date="2015-02-09T15:07:00Z" w:initials="C">
    <w:p w:rsidR="00BB6705" w:rsidRDefault="00BB6705">
      <w:pPr>
        <w:pStyle w:val="Textocomentario"/>
      </w:pPr>
      <w:r>
        <w:rPr>
          <w:rStyle w:val="Refdecomentario"/>
        </w:rPr>
        <w:annotationRef/>
      </w:r>
      <w:r>
        <w:t>Actualizado a 2013</w:t>
      </w:r>
    </w:p>
  </w:comment>
  <w:comment w:id="18" w:author="K@®LØ$" w:date="2015-02-09T15:16:00Z" w:initials="C">
    <w:p w:rsidR="00BB6705" w:rsidRDefault="00BB6705">
      <w:pPr>
        <w:pStyle w:val="Textocomentario"/>
      </w:pPr>
      <w:r>
        <w:rPr>
          <w:rStyle w:val="Refdecomentario"/>
        </w:rPr>
        <w:annotationRef/>
      </w:r>
      <w:r>
        <w:t>Actualizado a 2013</w:t>
      </w:r>
    </w:p>
  </w:comment>
  <w:comment w:id="20" w:author="K@®LØ$" w:date="2015-02-15T18:35:00Z" w:initials="C">
    <w:p w:rsidR="00BB6705" w:rsidRDefault="00BB6705">
      <w:pPr>
        <w:pStyle w:val="Textocomentario"/>
      </w:pPr>
      <w:r>
        <w:rPr>
          <w:rStyle w:val="Refdecomentario"/>
        </w:rPr>
        <w:annotationRef/>
      </w:r>
      <w:r>
        <w:t>Actualizado</w:t>
      </w:r>
      <w:r w:rsidR="001E75D8">
        <w:t xml:space="preserve"> a 2013</w:t>
      </w:r>
    </w:p>
  </w:comment>
  <w:comment w:id="21" w:author="K@®LØ$" w:date="2015-02-15T17:53:00Z" w:initials="C">
    <w:p w:rsidR="0097285D" w:rsidRDefault="0097285D">
      <w:pPr>
        <w:pStyle w:val="Textocomentario"/>
      </w:pPr>
      <w:r>
        <w:rPr>
          <w:rStyle w:val="Refdecomentario"/>
        </w:rPr>
        <w:annotationRef/>
      </w:r>
      <w:r>
        <w:t>Añadido</w:t>
      </w:r>
    </w:p>
  </w:comment>
  <w:comment w:id="22" w:author="K@®LØ$" w:date="2015-01-26T22:37:00Z" w:initials="C">
    <w:p w:rsidR="00BB6705" w:rsidRDefault="00BB6705">
      <w:pPr>
        <w:pStyle w:val="Textocomentario"/>
      </w:pPr>
      <w:r>
        <w:rPr>
          <w:rStyle w:val="Refdecomentario"/>
        </w:rPr>
        <w:annotationRef/>
      </w:r>
      <w:r>
        <w:t>Actualizada</w:t>
      </w:r>
    </w:p>
  </w:comment>
  <w:comment w:id="23" w:author="K@®LØ$" w:date="2015-02-15T17:35:00Z" w:initials="C">
    <w:p w:rsidR="00AC1277" w:rsidRDefault="00AC1277">
      <w:pPr>
        <w:pStyle w:val="Textocomentario"/>
      </w:pPr>
      <w:r>
        <w:rPr>
          <w:rStyle w:val="Refdecomentario"/>
        </w:rPr>
        <w:annotationRef/>
      </w:r>
      <w:r>
        <w:t>Nuevo</w:t>
      </w:r>
    </w:p>
  </w:comment>
  <w:comment w:id="24" w:author="K@®LØ$" w:date="2015-02-14T19:20:00Z" w:initials="C">
    <w:p w:rsidR="00BB6705" w:rsidRDefault="00BB6705">
      <w:pPr>
        <w:pStyle w:val="Textocomentario"/>
      </w:pPr>
      <w:r>
        <w:rPr>
          <w:rStyle w:val="Refdecomentario"/>
        </w:rPr>
        <w:annotationRef/>
      </w:r>
      <w:r>
        <w:t>Nuevo</w:t>
      </w:r>
    </w:p>
  </w:comment>
  <w:comment w:id="25" w:author="K@®LØ$" w:date="2015-02-14T20:03:00Z" w:initials="C">
    <w:p w:rsidR="00BB6705" w:rsidRDefault="00BB6705">
      <w:pPr>
        <w:pStyle w:val="Textocomentario"/>
      </w:pPr>
      <w:r>
        <w:rPr>
          <w:rStyle w:val="Refdecomentario"/>
        </w:rPr>
        <w:annotationRef/>
      </w:r>
      <w:r>
        <w:t>Nuevo</w:t>
      </w:r>
    </w:p>
  </w:comment>
  <w:comment w:id="26" w:author="K@®LØ$" w:date="2015-02-15T18:02:00Z" w:initials="C">
    <w:p w:rsidR="00DA37D1" w:rsidRDefault="00DA37D1">
      <w:pPr>
        <w:pStyle w:val="Textocomentario"/>
      </w:pPr>
      <w:r>
        <w:rPr>
          <w:rStyle w:val="Refdecomentario"/>
        </w:rPr>
        <w:annotationRef/>
      </w:r>
      <w:r>
        <w:t>Nuevo</w:t>
      </w:r>
    </w:p>
  </w:comment>
  <w:comment w:id="27" w:author="K@®LØ$" w:date="2015-02-14T20:25:00Z" w:initials="C">
    <w:p w:rsidR="00BB6705" w:rsidRDefault="00BB6705">
      <w:pPr>
        <w:pStyle w:val="Textocomentario"/>
      </w:pPr>
      <w:r>
        <w:rPr>
          <w:rStyle w:val="Refdecomentario"/>
        </w:rPr>
        <w:annotationRef/>
      </w:r>
      <w:r>
        <w:t>Nuevo</w:t>
      </w:r>
    </w:p>
  </w:comment>
</w:comments>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15A96" w:rsidRDefault="00C15A96" w:rsidP="007B07C5">
      <w:r>
        <w:separator/>
      </w:r>
    </w:p>
  </w:endnote>
  <w:endnote w:type="continuationSeparator" w:id="1">
    <w:p w:rsidR="00C15A96" w:rsidRDefault="00C15A96" w:rsidP="007B07C5">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234496736"/>
      <w:docPartObj>
        <w:docPartGallery w:val="Page Numbers (Bottom of Page)"/>
        <w:docPartUnique/>
      </w:docPartObj>
    </w:sdtPr>
    <w:sdtContent>
      <w:p w:rsidR="00BB6705" w:rsidRDefault="00A710F6">
        <w:pPr>
          <w:pStyle w:val="Piedepgina"/>
          <w:jc w:val="right"/>
        </w:pPr>
        <w:r w:rsidRPr="005F6F8E">
          <w:rPr>
            <w:rFonts w:ascii="Times New Roman" w:hAnsi="Times New Roman" w:cs="Times New Roman"/>
          </w:rPr>
          <w:fldChar w:fldCharType="begin"/>
        </w:r>
        <w:r w:rsidR="00BB6705" w:rsidRPr="005F6F8E">
          <w:rPr>
            <w:rFonts w:ascii="Times New Roman" w:hAnsi="Times New Roman" w:cs="Times New Roman"/>
          </w:rPr>
          <w:instrText xml:space="preserve"> PAGE   \* MERGEFORMAT </w:instrText>
        </w:r>
        <w:r w:rsidRPr="005F6F8E">
          <w:rPr>
            <w:rFonts w:ascii="Times New Roman" w:hAnsi="Times New Roman" w:cs="Times New Roman"/>
          </w:rPr>
          <w:fldChar w:fldCharType="separate"/>
        </w:r>
        <w:r w:rsidR="00C176F8">
          <w:rPr>
            <w:rFonts w:ascii="Times New Roman" w:hAnsi="Times New Roman" w:cs="Times New Roman"/>
            <w:noProof/>
          </w:rPr>
          <w:t>27</w:t>
        </w:r>
        <w:r w:rsidRPr="005F6F8E">
          <w:rPr>
            <w:rFonts w:ascii="Times New Roman" w:hAnsi="Times New Roman" w:cs="Times New Roman"/>
          </w:rPr>
          <w:fldChar w:fldCharType="end"/>
        </w:r>
      </w:p>
    </w:sdtContent>
  </w:sdt>
  <w:p w:rsidR="00BB6705" w:rsidRDefault="00BB6705">
    <w:pPr>
      <w:pStyle w:val="Piedepgin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15A96" w:rsidRDefault="00C15A96" w:rsidP="007B07C5">
      <w:r>
        <w:separator/>
      </w:r>
    </w:p>
  </w:footnote>
  <w:footnote w:type="continuationSeparator" w:id="1">
    <w:p w:rsidR="00C15A96" w:rsidRDefault="00C15A96" w:rsidP="007B07C5">
      <w:r>
        <w:continuationSeparator/>
      </w:r>
    </w:p>
  </w:footnote>
  <w:footnote w:id="2">
    <w:p w:rsidR="00BB6705" w:rsidRPr="00483C4B" w:rsidRDefault="00BB6705" w:rsidP="003F7C13">
      <w:pPr>
        <w:pStyle w:val="Textonotapie"/>
        <w:jc w:val="both"/>
        <w:rPr>
          <w:rFonts w:ascii="Times New Roman" w:hAnsi="Times New Roman" w:cs="Times New Roman"/>
        </w:rPr>
      </w:pPr>
      <w:r w:rsidRPr="00483C4B">
        <w:rPr>
          <w:rStyle w:val="Refdenotaalpie"/>
          <w:rFonts w:ascii="Times New Roman" w:hAnsi="Times New Roman" w:cs="Times New Roman"/>
        </w:rPr>
        <w:footnoteRef/>
      </w:r>
      <w:r w:rsidRPr="00483C4B">
        <w:rPr>
          <w:rFonts w:ascii="Times New Roman" w:hAnsi="Times New Roman" w:cs="Times New Roman"/>
        </w:rPr>
        <w:t xml:space="preserve"> Graduado en Geografía (Universidad de Murcia), Masterando en la Universidad de Alicante.</w:t>
      </w:r>
      <w:r>
        <w:rPr>
          <w:rFonts w:ascii="Times New Roman" w:hAnsi="Times New Roman" w:cs="Times New Roman"/>
        </w:rPr>
        <w:t xml:space="preserve"> E-mail: moya.ortega.carlos@gmail.com</w:t>
      </w:r>
    </w:p>
  </w:footnote>
  <w:footnote w:id="3">
    <w:p w:rsidR="00BB6705" w:rsidRDefault="00BB6705" w:rsidP="003F7C13">
      <w:pPr>
        <w:pStyle w:val="Textonotapie"/>
        <w:jc w:val="both"/>
      </w:pPr>
      <w:r w:rsidRPr="00483C4B">
        <w:rPr>
          <w:rStyle w:val="Refdenotaalpie"/>
          <w:rFonts w:ascii="Times New Roman" w:hAnsi="Times New Roman" w:cs="Times New Roman"/>
        </w:rPr>
        <w:footnoteRef/>
      </w:r>
      <w:r w:rsidRPr="00483C4B">
        <w:rPr>
          <w:rFonts w:ascii="Times New Roman" w:hAnsi="Times New Roman" w:cs="Times New Roman"/>
        </w:rPr>
        <w:t xml:space="preserve"> Profesor Contratado Doctor, Departamento de Geografía, Universidad de Murcia</w:t>
      </w:r>
      <w:r>
        <w:rPr>
          <w:rFonts w:ascii="Times New Roman" w:hAnsi="Times New Roman" w:cs="Times New Roman"/>
        </w:rPr>
        <w:t>, C/Santo Cristo s/n, 30001 Murcia (España). E-mail: ramongm@um.com</w:t>
      </w:r>
    </w:p>
  </w:footnote>
  <w:footnote w:id="4">
    <w:p w:rsidR="00BB6705" w:rsidRPr="00847074" w:rsidRDefault="00BB6705" w:rsidP="001103D8">
      <w:pPr>
        <w:pStyle w:val="Textonotapie"/>
        <w:jc w:val="both"/>
        <w:rPr>
          <w:rFonts w:ascii="Times New Roman" w:hAnsi="Times New Roman" w:cs="Times New Roman"/>
        </w:rPr>
      </w:pPr>
      <w:r w:rsidRPr="00847074">
        <w:rPr>
          <w:rStyle w:val="Refdenotaalpie"/>
          <w:rFonts w:ascii="Times New Roman" w:hAnsi="Times New Roman" w:cs="Times New Roman"/>
        </w:rPr>
        <w:footnoteRef/>
      </w:r>
      <w:r w:rsidRPr="00847074">
        <w:rPr>
          <w:rFonts w:ascii="Times New Roman" w:hAnsi="Times New Roman" w:cs="Times New Roman"/>
        </w:rPr>
        <w:t xml:space="preserve"> </w:t>
      </w:r>
      <w:r w:rsidRPr="00E64CF2">
        <w:rPr>
          <w:rFonts w:ascii="Times New Roman" w:hAnsi="Times New Roman" w:cs="Times New Roman"/>
          <w:color w:val="000000"/>
          <w:lang w:val="es-CL"/>
        </w:rPr>
        <w:t xml:space="preserve">Cociente entre personas de 65 años y más con respecto a </w:t>
      </w:r>
      <w:r>
        <w:rPr>
          <w:rFonts w:ascii="Times New Roman" w:hAnsi="Times New Roman" w:cs="Times New Roman"/>
          <w:color w:val="000000"/>
          <w:lang w:val="es-CL"/>
        </w:rPr>
        <w:t>la población total</w:t>
      </w:r>
      <w:r w:rsidRPr="00E64CF2">
        <w:rPr>
          <w:rFonts w:ascii="Times New Roman" w:hAnsi="Times New Roman" w:cs="Times New Roman"/>
          <w:color w:val="000000"/>
          <w:lang w:val="es-CL"/>
        </w:rPr>
        <w:t>, multiplicado por 100.</w:t>
      </w:r>
    </w:p>
  </w:footnote>
  <w:footnote w:id="5">
    <w:p w:rsidR="00BB6705" w:rsidRPr="00847074" w:rsidRDefault="00BB6705">
      <w:pPr>
        <w:pStyle w:val="Textonotapie"/>
        <w:rPr>
          <w:rFonts w:ascii="Times New Roman" w:hAnsi="Times New Roman" w:cs="Times New Roman"/>
        </w:rPr>
      </w:pPr>
      <w:r w:rsidRPr="00847074">
        <w:rPr>
          <w:rStyle w:val="Refdenotaalpie"/>
          <w:rFonts w:ascii="Times New Roman" w:hAnsi="Times New Roman" w:cs="Times New Roman"/>
        </w:rPr>
        <w:footnoteRef/>
      </w:r>
      <w:r w:rsidRPr="00E64CF2">
        <w:rPr>
          <w:rFonts w:ascii="Times New Roman" w:hAnsi="Times New Roman" w:cs="Times New Roman"/>
        </w:rPr>
        <w:t xml:space="preserve"> </w:t>
      </w:r>
      <w:r>
        <w:rPr>
          <w:rFonts w:ascii="Times New Roman" w:hAnsi="Times New Roman" w:cs="Times New Roman"/>
        </w:rPr>
        <w:t>Cociente entre personas de 75 años y más con respecto a las personas entre 65-74, multiplicado por 100.</w:t>
      </w:r>
    </w:p>
  </w:footnote>
  <w:footnote w:id="6">
    <w:p w:rsidR="00BB6705" w:rsidRDefault="00BB6705">
      <w:pPr>
        <w:pStyle w:val="Textonotapie"/>
      </w:pPr>
      <w:r w:rsidRPr="00E64CF2">
        <w:rPr>
          <w:rStyle w:val="Refdenotaalpie"/>
          <w:rFonts w:ascii="Times New Roman" w:hAnsi="Times New Roman" w:cs="Times New Roman"/>
        </w:rPr>
        <w:footnoteRef/>
      </w:r>
      <w:r>
        <w:rPr>
          <w:rFonts w:ascii="Times New Roman" w:hAnsi="Times New Roman" w:cs="Times New Roman"/>
        </w:rPr>
        <w:t xml:space="preserve"> Cociente entre personas de 65 años y más con respecto a las personas entre 16-64, multiplicado por 100.</w:t>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footnotePr>
    <w:footnote w:id="0"/>
    <w:footnote w:id="1"/>
  </w:footnotePr>
  <w:endnotePr>
    <w:endnote w:id="0"/>
    <w:endnote w:id="1"/>
  </w:endnotePr>
  <w:compat/>
  <w:rsids>
    <w:rsidRoot w:val="00DA2EF5"/>
    <w:rsid w:val="00000C56"/>
    <w:rsid w:val="000020F5"/>
    <w:rsid w:val="00004AA1"/>
    <w:rsid w:val="0001137C"/>
    <w:rsid w:val="00015108"/>
    <w:rsid w:val="00015586"/>
    <w:rsid w:val="0001674C"/>
    <w:rsid w:val="0003173A"/>
    <w:rsid w:val="00051E68"/>
    <w:rsid w:val="000621AB"/>
    <w:rsid w:val="000655D4"/>
    <w:rsid w:val="0007430C"/>
    <w:rsid w:val="00074841"/>
    <w:rsid w:val="00074964"/>
    <w:rsid w:val="0007498F"/>
    <w:rsid w:val="00077DD7"/>
    <w:rsid w:val="00087642"/>
    <w:rsid w:val="000922E4"/>
    <w:rsid w:val="00095AB7"/>
    <w:rsid w:val="000B120D"/>
    <w:rsid w:val="000B3A1D"/>
    <w:rsid w:val="000C0A0E"/>
    <w:rsid w:val="000C2140"/>
    <w:rsid w:val="000C2469"/>
    <w:rsid w:val="000C72F1"/>
    <w:rsid w:val="000D3205"/>
    <w:rsid w:val="000E330D"/>
    <w:rsid w:val="000F442E"/>
    <w:rsid w:val="001103D8"/>
    <w:rsid w:val="00120E29"/>
    <w:rsid w:val="00120F37"/>
    <w:rsid w:val="00136434"/>
    <w:rsid w:val="00140117"/>
    <w:rsid w:val="00146DA3"/>
    <w:rsid w:val="001478FF"/>
    <w:rsid w:val="001529EC"/>
    <w:rsid w:val="00183BCF"/>
    <w:rsid w:val="00185C98"/>
    <w:rsid w:val="00194DBC"/>
    <w:rsid w:val="001A5370"/>
    <w:rsid w:val="001B3B94"/>
    <w:rsid w:val="001B76E4"/>
    <w:rsid w:val="001C0680"/>
    <w:rsid w:val="001C1DA6"/>
    <w:rsid w:val="001C7E7C"/>
    <w:rsid w:val="001D6DC4"/>
    <w:rsid w:val="001E75D8"/>
    <w:rsid w:val="001F0DEE"/>
    <w:rsid w:val="001F70AE"/>
    <w:rsid w:val="002013E1"/>
    <w:rsid w:val="00202C49"/>
    <w:rsid w:val="00210056"/>
    <w:rsid w:val="00213708"/>
    <w:rsid w:val="002165B0"/>
    <w:rsid w:val="00223CFA"/>
    <w:rsid w:val="002419B8"/>
    <w:rsid w:val="002527D1"/>
    <w:rsid w:val="00255437"/>
    <w:rsid w:val="00281BEA"/>
    <w:rsid w:val="0028246D"/>
    <w:rsid w:val="002826F6"/>
    <w:rsid w:val="00282BCD"/>
    <w:rsid w:val="00283AAF"/>
    <w:rsid w:val="00293472"/>
    <w:rsid w:val="0029597D"/>
    <w:rsid w:val="002959CE"/>
    <w:rsid w:val="002960A9"/>
    <w:rsid w:val="002B04AF"/>
    <w:rsid w:val="002C0D24"/>
    <w:rsid w:val="002D617C"/>
    <w:rsid w:val="002E6C97"/>
    <w:rsid w:val="002F1C0E"/>
    <w:rsid w:val="003135AA"/>
    <w:rsid w:val="003241B8"/>
    <w:rsid w:val="00325648"/>
    <w:rsid w:val="00331394"/>
    <w:rsid w:val="0033418B"/>
    <w:rsid w:val="00337DB4"/>
    <w:rsid w:val="003447FE"/>
    <w:rsid w:val="00370649"/>
    <w:rsid w:val="00373299"/>
    <w:rsid w:val="00375904"/>
    <w:rsid w:val="0037662A"/>
    <w:rsid w:val="00383FD4"/>
    <w:rsid w:val="00390D3C"/>
    <w:rsid w:val="00395E61"/>
    <w:rsid w:val="003A4CD3"/>
    <w:rsid w:val="003B3023"/>
    <w:rsid w:val="003C1894"/>
    <w:rsid w:val="003D0803"/>
    <w:rsid w:val="003D4FF2"/>
    <w:rsid w:val="003E6211"/>
    <w:rsid w:val="003F7C13"/>
    <w:rsid w:val="00403D4D"/>
    <w:rsid w:val="004064BD"/>
    <w:rsid w:val="00417D5C"/>
    <w:rsid w:val="004216AF"/>
    <w:rsid w:val="00423289"/>
    <w:rsid w:val="004263C5"/>
    <w:rsid w:val="00426777"/>
    <w:rsid w:val="00426DD7"/>
    <w:rsid w:val="004308E3"/>
    <w:rsid w:val="004553CE"/>
    <w:rsid w:val="00464CDC"/>
    <w:rsid w:val="00465283"/>
    <w:rsid w:val="00474A75"/>
    <w:rsid w:val="004814BD"/>
    <w:rsid w:val="004819FA"/>
    <w:rsid w:val="00483C4B"/>
    <w:rsid w:val="00484D67"/>
    <w:rsid w:val="004852DD"/>
    <w:rsid w:val="0049021F"/>
    <w:rsid w:val="00493CEF"/>
    <w:rsid w:val="00494996"/>
    <w:rsid w:val="00496765"/>
    <w:rsid w:val="004A0F66"/>
    <w:rsid w:val="004A50F3"/>
    <w:rsid w:val="004B0B1D"/>
    <w:rsid w:val="004C1968"/>
    <w:rsid w:val="004D06CB"/>
    <w:rsid w:val="004D083C"/>
    <w:rsid w:val="00501991"/>
    <w:rsid w:val="005078BD"/>
    <w:rsid w:val="005106A7"/>
    <w:rsid w:val="0052288F"/>
    <w:rsid w:val="0052294B"/>
    <w:rsid w:val="005236E6"/>
    <w:rsid w:val="00530EC8"/>
    <w:rsid w:val="005326C1"/>
    <w:rsid w:val="0053525F"/>
    <w:rsid w:val="00543BB9"/>
    <w:rsid w:val="00554EE1"/>
    <w:rsid w:val="005744CA"/>
    <w:rsid w:val="005910B8"/>
    <w:rsid w:val="0059589C"/>
    <w:rsid w:val="00596B44"/>
    <w:rsid w:val="005A5574"/>
    <w:rsid w:val="005B25A8"/>
    <w:rsid w:val="005C2047"/>
    <w:rsid w:val="005C26F8"/>
    <w:rsid w:val="005D0491"/>
    <w:rsid w:val="005D62F7"/>
    <w:rsid w:val="005D67CC"/>
    <w:rsid w:val="005D74A8"/>
    <w:rsid w:val="005E49A7"/>
    <w:rsid w:val="005F6F8E"/>
    <w:rsid w:val="00603184"/>
    <w:rsid w:val="006102BD"/>
    <w:rsid w:val="006245FF"/>
    <w:rsid w:val="00631B0E"/>
    <w:rsid w:val="00634CB2"/>
    <w:rsid w:val="00642655"/>
    <w:rsid w:val="00643985"/>
    <w:rsid w:val="006511BD"/>
    <w:rsid w:val="0065283E"/>
    <w:rsid w:val="00653F68"/>
    <w:rsid w:val="0066049F"/>
    <w:rsid w:val="006647EB"/>
    <w:rsid w:val="00670638"/>
    <w:rsid w:val="00675EA6"/>
    <w:rsid w:val="006842CC"/>
    <w:rsid w:val="00691504"/>
    <w:rsid w:val="00695938"/>
    <w:rsid w:val="006A1BDD"/>
    <w:rsid w:val="006A23A3"/>
    <w:rsid w:val="006B00CA"/>
    <w:rsid w:val="006C2F52"/>
    <w:rsid w:val="006D05FB"/>
    <w:rsid w:val="006D3BE7"/>
    <w:rsid w:val="006D4667"/>
    <w:rsid w:val="006E2862"/>
    <w:rsid w:val="006F0F7F"/>
    <w:rsid w:val="006F127B"/>
    <w:rsid w:val="006F3A7A"/>
    <w:rsid w:val="007069E8"/>
    <w:rsid w:val="00711DB9"/>
    <w:rsid w:val="00721526"/>
    <w:rsid w:val="007240EF"/>
    <w:rsid w:val="00755D5E"/>
    <w:rsid w:val="007618DF"/>
    <w:rsid w:val="007619D1"/>
    <w:rsid w:val="00763283"/>
    <w:rsid w:val="00782AFC"/>
    <w:rsid w:val="00793D41"/>
    <w:rsid w:val="00796C70"/>
    <w:rsid w:val="00796EEB"/>
    <w:rsid w:val="007A4C9F"/>
    <w:rsid w:val="007B07C5"/>
    <w:rsid w:val="007C1BFC"/>
    <w:rsid w:val="007D02BA"/>
    <w:rsid w:val="007D2712"/>
    <w:rsid w:val="007E0CCF"/>
    <w:rsid w:val="007F238C"/>
    <w:rsid w:val="00800465"/>
    <w:rsid w:val="00805D84"/>
    <w:rsid w:val="00806857"/>
    <w:rsid w:val="008110D4"/>
    <w:rsid w:val="008123C4"/>
    <w:rsid w:val="00815C5E"/>
    <w:rsid w:val="0081692B"/>
    <w:rsid w:val="008276B7"/>
    <w:rsid w:val="00833D0F"/>
    <w:rsid w:val="0084610F"/>
    <w:rsid w:val="00847074"/>
    <w:rsid w:val="0085183D"/>
    <w:rsid w:val="008726F4"/>
    <w:rsid w:val="00874AC9"/>
    <w:rsid w:val="00895E92"/>
    <w:rsid w:val="00896D47"/>
    <w:rsid w:val="00897938"/>
    <w:rsid w:val="008A3B04"/>
    <w:rsid w:val="008C686F"/>
    <w:rsid w:val="008C6891"/>
    <w:rsid w:val="008D15D8"/>
    <w:rsid w:val="008D5089"/>
    <w:rsid w:val="008E0640"/>
    <w:rsid w:val="008E660B"/>
    <w:rsid w:val="008E73E3"/>
    <w:rsid w:val="008F44DD"/>
    <w:rsid w:val="008F481E"/>
    <w:rsid w:val="008F4ADB"/>
    <w:rsid w:val="008F4B60"/>
    <w:rsid w:val="00914739"/>
    <w:rsid w:val="00931351"/>
    <w:rsid w:val="00953235"/>
    <w:rsid w:val="00956A06"/>
    <w:rsid w:val="0096457F"/>
    <w:rsid w:val="009660B8"/>
    <w:rsid w:val="0097285D"/>
    <w:rsid w:val="009873BB"/>
    <w:rsid w:val="00994101"/>
    <w:rsid w:val="00996212"/>
    <w:rsid w:val="009B53A2"/>
    <w:rsid w:val="009C0EBF"/>
    <w:rsid w:val="009C7676"/>
    <w:rsid w:val="009D1BC5"/>
    <w:rsid w:val="009E0061"/>
    <w:rsid w:val="009F1DD2"/>
    <w:rsid w:val="009F3012"/>
    <w:rsid w:val="00A025FD"/>
    <w:rsid w:val="00A04531"/>
    <w:rsid w:val="00A073B0"/>
    <w:rsid w:val="00A24E16"/>
    <w:rsid w:val="00A32F2E"/>
    <w:rsid w:val="00A34D78"/>
    <w:rsid w:val="00A35E55"/>
    <w:rsid w:val="00A424B5"/>
    <w:rsid w:val="00A514B0"/>
    <w:rsid w:val="00A710F6"/>
    <w:rsid w:val="00A808A4"/>
    <w:rsid w:val="00A80E6D"/>
    <w:rsid w:val="00A90F6B"/>
    <w:rsid w:val="00AA4325"/>
    <w:rsid w:val="00AA5485"/>
    <w:rsid w:val="00AC1277"/>
    <w:rsid w:val="00AC6953"/>
    <w:rsid w:val="00AD0FBD"/>
    <w:rsid w:val="00AD1F8E"/>
    <w:rsid w:val="00AD2FAB"/>
    <w:rsid w:val="00AE2B2F"/>
    <w:rsid w:val="00B01621"/>
    <w:rsid w:val="00B06B06"/>
    <w:rsid w:val="00B076CA"/>
    <w:rsid w:val="00B14DB7"/>
    <w:rsid w:val="00B24A6A"/>
    <w:rsid w:val="00B4070A"/>
    <w:rsid w:val="00B73387"/>
    <w:rsid w:val="00B816B1"/>
    <w:rsid w:val="00B84012"/>
    <w:rsid w:val="00B864AA"/>
    <w:rsid w:val="00B96425"/>
    <w:rsid w:val="00BA4960"/>
    <w:rsid w:val="00BA57C1"/>
    <w:rsid w:val="00BB50FE"/>
    <w:rsid w:val="00BB6705"/>
    <w:rsid w:val="00BE187B"/>
    <w:rsid w:val="00BF5E80"/>
    <w:rsid w:val="00BF6234"/>
    <w:rsid w:val="00C0759E"/>
    <w:rsid w:val="00C141FB"/>
    <w:rsid w:val="00C15A96"/>
    <w:rsid w:val="00C176F8"/>
    <w:rsid w:val="00C20A1A"/>
    <w:rsid w:val="00C30C35"/>
    <w:rsid w:val="00C35429"/>
    <w:rsid w:val="00C43136"/>
    <w:rsid w:val="00C53BF3"/>
    <w:rsid w:val="00C63B72"/>
    <w:rsid w:val="00C74E2A"/>
    <w:rsid w:val="00C920DD"/>
    <w:rsid w:val="00CA6D34"/>
    <w:rsid w:val="00CC1798"/>
    <w:rsid w:val="00CC2647"/>
    <w:rsid w:val="00CC3772"/>
    <w:rsid w:val="00CD0C6F"/>
    <w:rsid w:val="00CE2433"/>
    <w:rsid w:val="00CF5574"/>
    <w:rsid w:val="00CF6CDB"/>
    <w:rsid w:val="00CF76F4"/>
    <w:rsid w:val="00D05621"/>
    <w:rsid w:val="00D061D6"/>
    <w:rsid w:val="00D10179"/>
    <w:rsid w:val="00D15E66"/>
    <w:rsid w:val="00D21909"/>
    <w:rsid w:val="00D23C1E"/>
    <w:rsid w:val="00D33F54"/>
    <w:rsid w:val="00D4554E"/>
    <w:rsid w:val="00D47FB2"/>
    <w:rsid w:val="00D55B28"/>
    <w:rsid w:val="00D63DEF"/>
    <w:rsid w:val="00D738D9"/>
    <w:rsid w:val="00D865FD"/>
    <w:rsid w:val="00D87912"/>
    <w:rsid w:val="00D91A6E"/>
    <w:rsid w:val="00D965A3"/>
    <w:rsid w:val="00D97970"/>
    <w:rsid w:val="00D97F7F"/>
    <w:rsid w:val="00DA14E9"/>
    <w:rsid w:val="00DA2EF5"/>
    <w:rsid w:val="00DA37D1"/>
    <w:rsid w:val="00DC74B8"/>
    <w:rsid w:val="00DD29CC"/>
    <w:rsid w:val="00DD4FEA"/>
    <w:rsid w:val="00DE1128"/>
    <w:rsid w:val="00DE4F24"/>
    <w:rsid w:val="00DF15D7"/>
    <w:rsid w:val="00DF56E0"/>
    <w:rsid w:val="00E0187D"/>
    <w:rsid w:val="00E03B9E"/>
    <w:rsid w:val="00E13C1C"/>
    <w:rsid w:val="00E159A2"/>
    <w:rsid w:val="00E2567D"/>
    <w:rsid w:val="00E25790"/>
    <w:rsid w:val="00E30037"/>
    <w:rsid w:val="00E351FE"/>
    <w:rsid w:val="00E40BE6"/>
    <w:rsid w:val="00E478E2"/>
    <w:rsid w:val="00E6087D"/>
    <w:rsid w:val="00E60AD6"/>
    <w:rsid w:val="00E639C6"/>
    <w:rsid w:val="00E64CF2"/>
    <w:rsid w:val="00E8089F"/>
    <w:rsid w:val="00E93F4C"/>
    <w:rsid w:val="00E954C5"/>
    <w:rsid w:val="00EA135C"/>
    <w:rsid w:val="00EA3578"/>
    <w:rsid w:val="00EA6CB9"/>
    <w:rsid w:val="00EB2D9B"/>
    <w:rsid w:val="00EB5821"/>
    <w:rsid w:val="00EB7359"/>
    <w:rsid w:val="00ED5252"/>
    <w:rsid w:val="00ED5DFC"/>
    <w:rsid w:val="00EE2CBC"/>
    <w:rsid w:val="00EE2F9E"/>
    <w:rsid w:val="00EE33DE"/>
    <w:rsid w:val="00EF38B6"/>
    <w:rsid w:val="00F14829"/>
    <w:rsid w:val="00F1549F"/>
    <w:rsid w:val="00F17DAF"/>
    <w:rsid w:val="00F23EBE"/>
    <w:rsid w:val="00F27CEA"/>
    <w:rsid w:val="00F350CE"/>
    <w:rsid w:val="00F36F7F"/>
    <w:rsid w:val="00F4262F"/>
    <w:rsid w:val="00F430C7"/>
    <w:rsid w:val="00F525F0"/>
    <w:rsid w:val="00F5415F"/>
    <w:rsid w:val="00F548CB"/>
    <w:rsid w:val="00F66A0F"/>
    <w:rsid w:val="00F72133"/>
    <w:rsid w:val="00F81E56"/>
    <w:rsid w:val="00F9026F"/>
    <w:rsid w:val="00F91A65"/>
    <w:rsid w:val="00F95EFE"/>
    <w:rsid w:val="00FA2E62"/>
    <w:rsid w:val="00FA40D0"/>
    <w:rsid w:val="00FB14F5"/>
    <w:rsid w:val="00FB2A33"/>
    <w:rsid w:val="00FB6C87"/>
    <w:rsid w:val="00FC38E0"/>
    <w:rsid w:val="00FC4CEF"/>
    <w:rsid w:val="00FF0C98"/>
    <w:rsid w:val="00FF1394"/>
    <w:rsid w:val="00FF7C93"/>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E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53BF3"/>
  </w:style>
  <w:style w:type="paragraph" w:styleId="Ttulo1">
    <w:name w:val="heading 1"/>
    <w:basedOn w:val="Normal"/>
    <w:next w:val="Normal"/>
    <w:link w:val="Ttulo1Car"/>
    <w:uiPriority w:val="9"/>
    <w:qFormat/>
    <w:rsid w:val="00DA2EF5"/>
    <w:pPr>
      <w:keepNext/>
      <w:keepLines/>
      <w:spacing w:before="480" w:line="276" w:lineRule="auto"/>
      <w:outlineLvl w:val="0"/>
    </w:pPr>
    <w:rPr>
      <w:rFonts w:asciiTheme="majorHAnsi" w:eastAsiaTheme="majorEastAsia" w:hAnsiTheme="majorHAnsi" w:cstheme="majorBidi"/>
      <w:b/>
      <w:bCs/>
      <w:color w:val="365F91" w:themeColor="accent1" w:themeShade="BF"/>
      <w:sz w:val="28"/>
      <w:szCs w:val="28"/>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DA2EF5"/>
    <w:rPr>
      <w:rFonts w:asciiTheme="majorHAnsi" w:eastAsiaTheme="majorEastAsia" w:hAnsiTheme="majorHAnsi" w:cstheme="majorBidi"/>
      <w:b/>
      <w:bCs/>
      <w:color w:val="365F91" w:themeColor="accent1" w:themeShade="BF"/>
      <w:sz w:val="28"/>
      <w:szCs w:val="28"/>
      <w:lang w:eastAsia="es-ES"/>
    </w:rPr>
  </w:style>
  <w:style w:type="table" w:customStyle="1" w:styleId="Sombreadoclaro1">
    <w:name w:val="Sombreado claro1"/>
    <w:basedOn w:val="Tablanormal"/>
    <w:uiPriority w:val="60"/>
    <w:rsid w:val="00675EA6"/>
    <w:rPr>
      <w:rFonts w:eastAsiaTheme="minorEastAsia"/>
      <w:color w:val="000000" w:themeColor="text1" w:themeShade="BF"/>
      <w:lang w:eastAsia="es-ES"/>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styleId="Textodeglobo">
    <w:name w:val="Balloon Text"/>
    <w:basedOn w:val="Normal"/>
    <w:link w:val="TextodegloboCar"/>
    <w:uiPriority w:val="99"/>
    <w:semiHidden/>
    <w:unhideWhenUsed/>
    <w:rsid w:val="00675EA6"/>
    <w:rPr>
      <w:rFonts w:ascii="Tahoma" w:hAnsi="Tahoma" w:cs="Tahoma"/>
      <w:sz w:val="16"/>
      <w:szCs w:val="16"/>
    </w:rPr>
  </w:style>
  <w:style w:type="character" w:customStyle="1" w:styleId="TextodegloboCar">
    <w:name w:val="Texto de globo Car"/>
    <w:basedOn w:val="Fuentedeprrafopredeter"/>
    <w:link w:val="Textodeglobo"/>
    <w:uiPriority w:val="99"/>
    <w:semiHidden/>
    <w:rsid w:val="00675EA6"/>
    <w:rPr>
      <w:rFonts w:ascii="Tahoma" w:hAnsi="Tahoma" w:cs="Tahoma"/>
      <w:sz w:val="16"/>
      <w:szCs w:val="16"/>
    </w:rPr>
  </w:style>
  <w:style w:type="paragraph" w:styleId="Textonotapie">
    <w:name w:val="footnote text"/>
    <w:basedOn w:val="Normal"/>
    <w:link w:val="TextonotapieCar"/>
    <w:uiPriority w:val="99"/>
    <w:semiHidden/>
    <w:unhideWhenUsed/>
    <w:rsid w:val="007B07C5"/>
    <w:rPr>
      <w:rFonts w:eastAsiaTheme="minorEastAsia"/>
      <w:sz w:val="20"/>
      <w:szCs w:val="20"/>
      <w:lang w:eastAsia="es-ES"/>
    </w:rPr>
  </w:style>
  <w:style w:type="character" w:customStyle="1" w:styleId="TextonotapieCar">
    <w:name w:val="Texto nota pie Car"/>
    <w:basedOn w:val="Fuentedeprrafopredeter"/>
    <w:link w:val="Textonotapie"/>
    <w:uiPriority w:val="99"/>
    <w:semiHidden/>
    <w:rsid w:val="007B07C5"/>
    <w:rPr>
      <w:rFonts w:eastAsiaTheme="minorEastAsia"/>
      <w:sz w:val="20"/>
      <w:szCs w:val="20"/>
      <w:lang w:eastAsia="es-ES"/>
    </w:rPr>
  </w:style>
  <w:style w:type="character" w:styleId="Refdenotaalpie">
    <w:name w:val="footnote reference"/>
    <w:basedOn w:val="Fuentedeprrafopredeter"/>
    <w:uiPriority w:val="99"/>
    <w:semiHidden/>
    <w:unhideWhenUsed/>
    <w:rsid w:val="007B07C5"/>
    <w:rPr>
      <w:vertAlign w:val="superscript"/>
    </w:rPr>
  </w:style>
  <w:style w:type="paragraph" w:styleId="Encabezado">
    <w:name w:val="header"/>
    <w:basedOn w:val="Normal"/>
    <w:link w:val="EncabezadoCar"/>
    <w:uiPriority w:val="99"/>
    <w:semiHidden/>
    <w:unhideWhenUsed/>
    <w:rsid w:val="007619D1"/>
    <w:pPr>
      <w:tabs>
        <w:tab w:val="center" w:pos="4252"/>
        <w:tab w:val="right" w:pos="8504"/>
      </w:tabs>
    </w:pPr>
  </w:style>
  <w:style w:type="character" w:customStyle="1" w:styleId="EncabezadoCar">
    <w:name w:val="Encabezado Car"/>
    <w:basedOn w:val="Fuentedeprrafopredeter"/>
    <w:link w:val="Encabezado"/>
    <w:uiPriority w:val="99"/>
    <w:semiHidden/>
    <w:rsid w:val="007619D1"/>
  </w:style>
  <w:style w:type="paragraph" w:styleId="Piedepgina">
    <w:name w:val="footer"/>
    <w:basedOn w:val="Normal"/>
    <w:link w:val="PiedepginaCar"/>
    <w:uiPriority w:val="99"/>
    <w:unhideWhenUsed/>
    <w:rsid w:val="007619D1"/>
    <w:pPr>
      <w:tabs>
        <w:tab w:val="center" w:pos="4252"/>
        <w:tab w:val="right" w:pos="8504"/>
      </w:tabs>
    </w:pPr>
  </w:style>
  <w:style w:type="character" w:customStyle="1" w:styleId="PiedepginaCar">
    <w:name w:val="Pie de página Car"/>
    <w:basedOn w:val="Fuentedeprrafopredeter"/>
    <w:link w:val="Piedepgina"/>
    <w:uiPriority w:val="99"/>
    <w:rsid w:val="007619D1"/>
  </w:style>
  <w:style w:type="character" w:styleId="Refdecomentario">
    <w:name w:val="annotation reference"/>
    <w:basedOn w:val="Fuentedeprrafopredeter"/>
    <w:uiPriority w:val="99"/>
    <w:semiHidden/>
    <w:unhideWhenUsed/>
    <w:rsid w:val="005C26F8"/>
    <w:rPr>
      <w:sz w:val="16"/>
      <w:szCs w:val="16"/>
    </w:rPr>
  </w:style>
  <w:style w:type="paragraph" w:styleId="Textocomentario">
    <w:name w:val="annotation text"/>
    <w:basedOn w:val="Normal"/>
    <w:link w:val="TextocomentarioCar"/>
    <w:uiPriority w:val="99"/>
    <w:semiHidden/>
    <w:unhideWhenUsed/>
    <w:rsid w:val="005C26F8"/>
    <w:rPr>
      <w:sz w:val="20"/>
      <w:szCs w:val="20"/>
    </w:rPr>
  </w:style>
  <w:style w:type="character" w:customStyle="1" w:styleId="TextocomentarioCar">
    <w:name w:val="Texto comentario Car"/>
    <w:basedOn w:val="Fuentedeprrafopredeter"/>
    <w:link w:val="Textocomentario"/>
    <w:uiPriority w:val="99"/>
    <w:semiHidden/>
    <w:rsid w:val="005C26F8"/>
    <w:rPr>
      <w:sz w:val="20"/>
      <w:szCs w:val="20"/>
    </w:rPr>
  </w:style>
  <w:style w:type="paragraph" w:styleId="Asuntodelcomentario">
    <w:name w:val="annotation subject"/>
    <w:basedOn w:val="Textocomentario"/>
    <w:next w:val="Textocomentario"/>
    <w:link w:val="AsuntodelcomentarioCar"/>
    <w:uiPriority w:val="99"/>
    <w:semiHidden/>
    <w:unhideWhenUsed/>
    <w:rsid w:val="005C26F8"/>
    <w:rPr>
      <w:b/>
      <w:bCs/>
    </w:rPr>
  </w:style>
  <w:style w:type="character" w:customStyle="1" w:styleId="AsuntodelcomentarioCar">
    <w:name w:val="Asunto del comentario Car"/>
    <w:basedOn w:val="TextocomentarioCar"/>
    <w:link w:val="Asuntodelcomentario"/>
    <w:uiPriority w:val="99"/>
    <w:semiHidden/>
    <w:rsid w:val="005C26F8"/>
    <w:rPr>
      <w:b/>
      <w:bCs/>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13" Type="http://schemas.openxmlformats.org/officeDocument/2006/relationships/chart" Target="charts/chart6.xml"/><Relationship Id="rId18" Type="http://schemas.openxmlformats.org/officeDocument/2006/relationships/chart" Target="charts/chart11.xml"/><Relationship Id="rId26"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chart" Target="charts/chart13.xml"/><Relationship Id="rId7" Type="http://schemas.openxmlformats.org/officeDocument/2006/relationships/comments" Target="comments.xml"/><Relationship Id="rId12" Type="http://schemas.openxmlformats.org/officeDocument/2006/relationships/chart" Target="charts/chart5.xml"/><Relationship Id="rId17" Type="http://schemas.openxmlformats.org/officeDocument/2006/relationships/chart" Target="charts/chart10.xml"/><Relationship Id="rId25" Type="http://schemas.openxmlformats.org/officeDocument/2006/relationships/footer" Target="footer1.xml"/><Relationship Id="rId2" Type="http://schemas.openxmlformats.org/officeDocument/2006/relationships/styles" Target="styles.xml"/><Relationship Id="rId16" Type="http://schemas.openxmlformats.org/officeDocument/2006/relationships/chart" Target="charts/chart9.xml"/><Relationship Id="rId20" Type="http://schemas.openxmlformats.org/officeDocument/2006/relationships/image" Target="media/image1.png"/><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chart" Target="charts/chart4.xml"/><Relationship Id="rId24" Type="http://schemas.openxmlformats.org/officeDocument/2006/relationships/chart" Target="charts/chart16.xml"/><Relationship Id="rId5" Type="http://schemas.openxmlformats.org/officeDocument/2006/relationships/footnotes" Target="footnotes.xml"/><Relationship Id="rId15" Type="http://schemas.openxmlformats.org/officeDocument/2006/relationships/chart" Target="charts/chart8.xml"/><Relationship Id="rId23" Type="http://schemas.openxmlformats.org/officeDocument/2006/relationships/chart" Target="charts/chart15.xml"/><Relationship Id="rId10" Type="http://schemas.openxmlformats.org/officeDocument/2006/relationships/chart" Target="charts/chart3.xml"/><Relationship Id="rId19" Type="http://schemas.openxmlformats.org/officeDocument/2006/relationships/chart" Target="charts/chart12.xml"/><Relationship Id="rId4" Type="http://schemas.openxmlformats.org/officeDocument/2006/relationships/webSettings" Target="webSettings.xml"/><Relationship Id="rId9" Type="http://schemas.openxmlformats.org/officeDocument/2006/relationships/chart" Target="charts/chart2.xml"/><Relationship Id="rId14" Type="http://schemas.openxmlformats.org/officeDocument/2006/relationships/chart" Target="charts/chart7.xml"/><Relationship Id="rId22" Type="http://schemas.openxmlformats.org/officeDocument/2006/relationships/chart" Target="charts/chart14.xml"/><Relationship Id="rId27" Type="http://schemas.openxmlformats.org/officeDocument/2006/relationships/theme" Target="theme/theme1.xml"/></Relationships>
</file>

<file path=word/charts/_rels/chart1.xml.rels><?xml version="1.0" encoding="UTF-8" standalone="yes"?>
<Relationships xmlns="http://schemas.openxmlformats.org/package/2006/relationships"><Relationship Id="rId1" Type="http://schemas.openxmlformats.org/officeDocument/2006/relationships/package" Target="../embeddings/Hoja_de_c_lculo_de_Microsoft_Office_Excel1.xlsx"/></Relationships>
</file>

<file path=word/charts/_rels/chart10.xml.rels><?xml version="1.0" encoding="UTF-8" standalone="yes"?>
<Relationships xmlns="http://schemas.openxmlformats.org/package/2006/relationships"><Relationship Id="rId1" Type="http://schemas.openxmlformats.org/officeDocument/2006/relationships/package" Target="../embeddings/Hoja_de_c_lculo_de_Microsoft_Office_Excel8.xlsx"/></Relationships>
</file>

<file path=word/charts/_rels/chart11.xml.rels><?xml version="1.0" encoding="UTF-8" standalone="yes"?>
<Relationships xmlns="http://schemas.openxmlformats.org/package/2006/relationships"><Relationship Id="rId1" Type="http://schemas.openxmlformats.org/officeDocument/2006/relationships/package" Target="../embeddings/Hoja_de_c_lculo_de_Microsoft_Office_Excel9.xlsx"/></Relationships>
</file>

<file path=word/charts/_rels/chart12.xml.rels><?xml version="1.0" encoding="UTF-8" standalone="yes"?>
<Relationships xmlns="http://schemas.openxmlformats.org/package/2006/relationships"><Relationship Id="rId1" Type="http://schemas.openxmlformats.org/officeDocument/2006/relationships/package" Target="../embeddings/Hoja_de_c_lculo_de_Microsoft_Office_Excel10.xlsx"/></Relationships>
</file>

<file path=word/charts/_rels/chart13.xml.rels><?xml version="1.0" encoding="UTF-8" standalone="yes"?>
<Relationships xmlns="http://schemas.openxmlformats.org/package/2006/relationships"><Relationship Id="rId1" Type="http://schemas.openxmlformats.org/officeDocument/2006/relationships/oleObject" Target="file:///C:\Users\Carlos\Desktop\K@&#174;L&#216;$\Documentos\4&#186;%20De%20Grado%20En%20Geograf&#237;a%20y%20Ordenaci&#243;n%20Del%20Territorio\Trabajo%20de%20Fin%20de%20Grado\Excel\Datos.xlsx" TargetMode="External"/></Relationships>
</file>

<file path=word/charts/_rels/chart14.xml.rels><?xml version="1.0" encoding="UTF-8" standalone="yes"?>
<Relationships xmlns="http://schemas.openxmlformats.org/package/2006/relationships"><Relationship Id="rId1" Type="http://schemas.openxmlformats.org/officeDocument/2006/relationships/package" Target="../embeddings/Hoja_de_c_lculo_de_Microsoft_Office_Excel11.xlsx"/></Relationships>
</file>

<file path=word/charts/_rels/chart15.xml.rels><?xml version="1.0" encoding="UTF-8" standalone="yes"?>
<Relationships xmlns="http://schemas.openxmlformats.org/package/2006/relationships"><Relationship Id="rId1" Type="http://schemas.openxmlformats.org/officeDocument/2006/relationships/package" Target="../embeddings/Hoja_de_c_lculo_de_Microsoft_Office_Excel12.xlsx"/></Relationships>
</file>

<file path=word/charts/_rels/chart16.xml.rels><?xml version="1.0" encoding="UTF-8" standalone="yes"?>
<Relationships xmlns="http://schemas.openxmlformats.org/package/2006/relationships"><Relationship Id="rId2" Type="http://schemas.openxmlformats.org/officeDocument/2006/relationships/oleObject" Target="file:///C:\Users\Carlos\Desktop\K@&#174;L&#216;$\Art&#237;culo\Inmigraci&#243;n%20y%20envejecimiento.xls" TargetMode="External"/><Relationship Id="rId1" Type="http://schemas.openxmlformats.org/officeDocument/2006/relationships/themeOverride" Target="../theme/themeOverride1.xml"/></Relationships>
</file>

<file path=word/charts/_rels/chart2.xml.rels><?xml version="1.0" encoding="UTF-8" standalone="yes"?>
<Relationships xmlns="http://schemas.openxmlformats.org/package/2006/relationships"><Relationship Id="rId1" Type="http://schemas.openxmlformats.org/officeDocument/2006/relationships/package" Target="../embeddings/Hoja_de_c_lculo_de_Microsoft_Office_Excel2.xlsx"/></Relationships>
</file>

<file path=word/charts/_rels/chart3.xml.rels><?xml version="1.0" encoding="UTF-8" standalone="yes"?>
<Relationships xmlns="http://schemas.openxmlformats.org/package/2006/relationships"><Relationship Id="rId1" Type="http://schemas.openxmlformats.org/officeDocument/2006/relationships/package" Target="../embeddings/Hoja_de_c_lculo_de_Microsoft_Office_Excel3.xlsx"/></Relationships>
</file>

<file path=word/charts/_rels/chart4.xml.rels><?xml version="1.0" encoding="UTF-8" standalone="yes"?>
<Relationships xmlns="http://schemas.openxmlformats.org/package/2006/relationships"><Relationship Id="rId1" Type="http://schemas.openxmlformats.org/officeDocument/2006/relationships/package" Target="../embeddings/Hoja_de_c_lculo_de_Microsoft_Office_Excel4.xlsx"/></Relationships>
</file>

<file path=word/charts/_rels/chart5.xml.rels><?xml version="1.0" encoding="UTF-8" standalone="yes"?>
<Relationships xmlns="http://schemas.openxmlformats.org/package/2006/relationships"><Relationship Id="rId1" Type="http://schemas.openxmlformats.org/officeDocument/2006/relationships/package" Target="../embeddings/Hoja_de_c_lculo_de_Microsoft_Office_Excel5.xlsx"/></Relationships>
</file>

<file path=word/charts/_rels/chart6.xml.rels><?xml version="1.0" encoding="UTF-8" standalone="yes"?>
<Relationships xmlns="http://schemas.openxmlformats.org/package/2006/relationships"><Relationship Id="rId1" Type="http://schemas.openxmlformats.org/officeDocument/2006/relationships/package" Target="../embeddings/Hoja_de_c_lculo_de_Microsoft_Office_Excel6.xlsx"/></Relationships>
</file>

<file path=word/charts/_rels/chart7.xml.rels><?xml version="1.0" encoding="UTF-8" standalone="yes"?>
<Relationships xmlns="http://schemas.openxmlformats.org/package/2006/relationships"><Relationship Id="rId1" Type="http://schemas.openxmlformats.org/officeDocument/2006/relationships/oleObject" Target="file:///C:\Users\Carlos\Desktop\K@&#174;L&#216;$\Documentos\4&#186;%20De%20Grado%20En%20Geograf&#237;a%20y%20Ordenaci&#243;n%20Del%20Territorio\Trabajo%20de%20Fin%20de%20Grado\Pir&#225;mide%20de%20Poblaci&#243;n%20con%20Inmigrantes.xls" TargetMode="External"/></Relationships>
</file>

<file path=word/charts/_rels/chart8.xml.rels><?xml version="1.0" encoding="UTF-8" standalone="yes"?>
<Relationships xmlns="http://schemas.openxmlformats.org/package/2006/relationships"><Relationship Id="rId1" Type="http://schemas.openxmlformats.org/officeDocument/2006/relationships/package" Target="../embeddings/Hoja_de_c_lculo_de_Microsoft_Office_Excel7.xlsx"/></Relationships>
</file>

<file path=word/charts/_rels/chart9.xml.rels><?xml version="1.0" encoding="UTF-8" standalone="yes"?>
<Relationships xmlns="http://schemas.openxmlformats.org/package/2006/relationships"><Relationship Id="rId1" Type="http://schemas.openxmlformats.org/officeDocument/2006/relationships/oleObject" Target="file:///C:\Users\Carlos\Desktop\K@&#174;L&#216;$\Art&#237;culo\Pir&#225;mide%20de%20Poblaci&#243;n%20con%20Inmigrantes.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1"/>
  <c:lang val="es-ES"/>
  <c:chart>
    <c:autoTitleDeleted val="1"/>
    <c:plotArea>
      <c:layout/>
      <c:barChart>
        <c:barDir val="bar"/>
        <c:grouping val="clustered"/>
        <c:ser>
          <c:idx val="0"/>
          <c:order val="0"/>
          <c:tx>
            <c:strRef>
              <c:f>Hoja1!$B$1</c:f>
              <c:strCache>
                <c:ptCount val="1"/>
                <c:pt idx="0">
                  <c:v>Serie 1</c:v>
                </c:pt>
              </c:strCache>
            </c:strRef>
          </c:tx>
          <c:dLbls>
            <c:showVal val="1"/>
          </c:dLbls>
          <c:cat>
            <c:strRef>
              <c:f>Hoja1!$A$2:$A$20</c:f>
              <c:strCache>
                <c:ptCount val="19"/>
                <c:pt idx="0">
                  <c:v>Castilla y León</c:v>
                </c:pt>
                <c:pt idx="1">
                  <c:v>Galicia</c:v>
                </c:pt>
                <c:pt idx="2">
                  <c:v>Asturias</c:v>
                </c:pt>
                <c:pt idx="3">
                  <c:v>País Vasco</c:v>
                </c:pt>
                <c:pt idx="4">
                  <c:v>Aragón</c:v>
                </c:pt>
                <c:pt idx="5">
                  <c:v>Cantabria</c:v>
                </c:pt>
                <c:pt idx="6">
                  <c:v>Rioja, La</c:v>
                </c:pt>
                <c:pt idx="7">
                  <c:v>Extremadura</c:v>
                </c:pt>
                <c:pt idx="8">
                  <c:v>Navarra</c:v>
                </c:pt>
                <c:pt idx="9">
                  <c:v>Comunidad Valenciana</c:v>
                </c:pt>
                <c:pt idx="10">
                  <c:v>Castilla - La Mancha</c:v>
                </c:pt>
                <c:pt idx="11">
                  <c:v>Cataluña</c:v>
                </c:pt>
                <c:pt idx="12">
                  <c:v>Madrid</c:v>
                </c:pt>
                <c:pt idx="13">
                  <c:v>Andalucía</c:v>
                </c:pt>
                <c:pt idx="14">
                  <c:v>Islas Baleares</c:v>
                </c:pt>
                <c:pt idx="15">
                  <c:v>Región de Murcia</c:v>
                </c:pt>
                <c:pt idx="16">
                  <c:v>Islas Canarias</c:v>
                </c:pt>
                <c:pt idx="17">
                  <c:v>Ceuta</c:v>
                </c:pt>
                <c:pt idx="18">
                  <c:v>Melilla</c:v>
                </c:pt>
              </c:strCache>
            </c:strRef>
          </c:cat>
          <c:val>
            <c:numRef>
              <c:f>Hoja1!$B$2:$B$20</c:f>
              <c:numCache>
                <c:formatCode>General</c:formatCode>
                <c:ptCount val="19"/>
                <c:pt idx="0">
                  <c:v>23.62</c:v>
                </c:pt>
                <c:pt idx="1">
                  <c:v>23.51</c:v>
                </c:pt>
                <c:pt idx="2">
                  <c:v>23.5</c:v>
                </c:pt>
                <c:pt idx="3">
                  <c:v>20.9</c:v>
                </c:pt>
                <c:pt idx="4">
                  <c:v>20.610000000000031</c:v>
                </c:pt>
                <c:pt idx="5">
                  <c:v>19.829999999999988</c:v>
                </c:pt>
                <c:pt idx="6">
                  <c:v>19.579999999999988</c:v>
                </c:pt>
                <c:pt idx="7">
                  <c:v>19.54</c:v>
                </c:pt>
                <c:pt idx="8">
                  <c:v>18.71</c:v>
                </c:pt>
                <c:pt idx="9">
                  <c:v>18.14</c:v>
                </c:pt>
                <c:pt idx="10">
                  <c:v>18.03</c:v>
                </c:pt>
                <c:pt idx="11">
                  <c:v>17.989999999999846</c:v>
                </c:pt>
                <c:pt idx="12">
                  <c:v>16.479999999999986</c:v>
                </c:pt>
                <c:pt idx="13">
                  <c:v>15.91</c:v>
                </c:pt>
                <c:pt idx="14">
                  <c:v>14.93</c:v>
                </c:pt>
                <c:pt idx="15">
                  <c:v>14.89</c:v>
                </c:pt>
                <c:pt idx="16">
                  <c:v>14.59</c:v>
                </c:pt>
                <c:pt idx="17">
                  <c:v>10.93</c:v>
                </c:pt>
                <c:pt idx="18">
                  <c:v>9.7900000000000009</c:v>
                </c:pt>
              </c:numCache>
            </c:numRef>
          </c:val>
        </c:ser>
        <c:dLbls>
          <c:showVal val="1"/>
        </c:dLbls>
        <c:gapWidth val="75"/>
        <c:axId val="78172928"/>
        <c:axId val="78174464"/>
      </c:barChart>
      <c:catAx>
        <c:axId val="78172928"/>
        <c:scaling>
          <c:orientation val="minMax"/>
        </c:scaling>
        <c:axPos val="l"/>
        <c:numFmt formatCode="General" sourceLinked="1"/>
        <c:majorTickMark val="none"/>
        <c:tickLblPos val="nextTo"/>
        <c:crossAx val="78174464"/>
        <c:crosses val="autoZero"/>
        <c:auto val="1"/>
        <c:lblAlgn val="ctr"/>
        <c:lblOffset val="100"/>
      </c:catAx>
      <c:valAx>
        <c:axId val="78174464"/>
        <c:scaling>
          <c:orientation val="minMax"/>
        </c:scaling>
        <c:axPos val="b"/>
        <c:numFmt formatCode="General" sourceLinked="1"/>
        <c:majorTickMark val="none"/>
        <c:tickLblPos val="nextTo"/>
        <c:crossAx val="78172928"/>
        <c:crosses val="autoZero"/>
        <c:crossBetween val="between"/>
      </c:valAx>
    </c:plotArea>
    <c:plotVisOnly val="1"/>
  </c:chart>
  <c:spPr>
    <a:ln>
      <a:noFill/>
    </a:ln>
  </c:spPr>
  <c:txPr>
    <a:bodyPr/>
    <a:lstStyle/>
    <a:p>
      <a:pPr>
        <a:defRPr sz="900">
          <a:latin typeface="Times New Roman" pitchFamily="18" charset="0"/>
          <a:cs typeface="Times New Roman" pitchFamily="18" charset="0"/>
        </a:defRPr>
      </a:pPr>
      <a:endParaRPr lang="es-ES"/>
    </a:p>
  </c:txPr>
  <c:externalData r:id="rId1"/>
</c:chartSpace>
</file>

<file path=word/charts/chart10.xml><?xml version="1.0" encoding="utf-8"?>
<c:chartSpace xmlns:c="http://schemas.openxmlformats.org/drawingml/2006/chart" xmlns:a="http://schemas.openxmlformats.org/drawingml/2006/main" xmlns:r="http://schemas.openxmlformats.org/officeDocument/2006/relationships">
  <c:date1904 val="1"/>
  <c:lang val="es-ES"/>
  <c:chart>
    <c:autoTitleDeleted val="1"/>
    <c:plotArea>
      <c:layout>
        <c:manualLayout>
          <c:layoutTarget val="inner"/>
          <c:xMode val="edge"/>
          <c:yMode val="edge"/>
          <c:x val="0.13591664266711484"/>
          <c:y val="4.5665163830327704E-2"/>
          <c:w val="0.83821013611684991"/>
          <c:h val="0.68399888755629656"/>
        </c:manualLayout>
      </c:layout>
      <c:lineChart>
        <c:grouping val="standard"/>
        <c:ser>
          <c:idx val="0"/>
          <c:order val="0"/>
          <c:tx>
            <c:strRef>
              <c:f>Hoja1!$B$1</c:f>
              <c:strCache>
                <c:ptCount val="1"/>
                <c:pt idx="0">
                  <c:v>Inmigración</c:v>
                </c:pt>
              </c:strCache>
            </c:strRef>
          </c:tx>
          <c:marker>
            <c:symbol val="none"/>
          </c:marker>
          <c:cat>
            <c:numRef>
              <c:f>Hoja1!$A$2:$A$13</c:f>
              <c:numCache>
                <c:formatCode>General</c:formatCode>
                <c:ptCount val="12"/>
                <c:pt idx="0">
                  <c:v>2002</c:v>
                </c:pt>
                <c:pt idx="1">
                  <c:v>2003</c:v>
                </c:pt>
                <c:pt idx="2">
                  <c:v>2004</c:v>
                </c:pt>
                <c:pt idx="3">
                  <c:v>2005</c:v>
                </c:pt>
                <c:pt idx="4">
                  <c:v>2006</c:v>
                </c:pt>
                <c:pt idx="5">
                  <c:v>2007</c:v>
                </c:pt>
                <c:pt idx="6">
                  <c:v>2008</c:v>
                </c:pt>
                <c:pt idx="7">
                  <c:v>2009</c:v>
                </c:pt>
                <c:pt idx="8">
                  <c:v>2010</c:v>
                </c:pt>
                <c:pt idx="9">
                  <c:v>2011</c:v>
                </c:pt>
                <c:pt idx="10">
                  <c:v>2012</c:v>
                </c:pt>
                <c:pt idx="11">
                  <c:v>2013</c:v>
                </c:pt>
              </c:numCache>
            </c:numRef>
          </c:cat>
          <c:val>
            <c:numRef>
              <c:f>Hoja1!$B$2:$B$13</c:f>
              <c:numCache>
                <c:formatCode>#,##0</c:formatCode>
                <c:ptCount val="12"/>
                <c:pt idx="0">
                  <c:v>22369</c:v>
                </c:pt>
                <c:pt idx="1">
                  <c:v>24452</c:v>
                </c:pt>
                <c:pt idx="2">
                  <c:v>27804</c:v>
                </c:pt>
                <c:pt idx="3">
                  <c:v>29900</c:v>
                </c:pt>
                <c:pt idx="4">
                  <c:v>30226</c:v>
                </c:pt>
                <c:pt idx="5">
                  <c:v>32535</c:v>
                </c:pt>
                <c:pt idx="6">
                  <c:v>23996</c:v>
                </c:pt>
                <c:pt idx="7">
                  <c:v>16016</c:v>
                </c:pt>
                <c:pt idx="8">
                  <c:v>12232</c:v>
                </c:pt>
                <c:pt idx="9">
                  <c:v>11549</c:v>
                </c:pt>
                <c:pt idx="10">
                  <c:v>9665</c:v>
                </c:pt>
                <c:pt idx="11">
                  <c:v>9722</c:v>
                </c:pt>
              </c:numCache>
            </c:numRef>
          </c:val>
        </c:ser>
        <c:ser>
          <c:idx val="1"/>
          <c:order val="1"/>
          <c:tx>
            <c:strRef>
              <c:f>Hoja1!$C$1</c:f>
              <c:strCache>
                <c:ptCount val="1"/>
                <c:pt idx="0">
                  <c:v>Emigración</c:v>
                </c:pt>
              </c:strCache>
            </c:strRef>
          </c:tx>
          <c:marker>
            <c:symbol val="none"/>
          </c:marker>
          <c:cat>
            <c:numRef>
              <c:f>Hoja1!$A$2:$A$13</c:f>
              <c:numCache>
                <c:formatCode>General</c:formatCode>
                <c:ptCount val="12"/>
                <c:pt idx="0">
                  <c:v>2002</c:v>
                </c:pt>
                <c:pt idx="1">
                  <c:v>2003</c:v>
                </c:pt>
                <c:pt idx="2">
                  <c:v>2004</c:v>
                </c:pt>
                <c:pt idx="3">
                  <c:v>2005</c:v>
                </c:pt>
                <c:pt idx="4">
                  <c:v>2006</c:v>
                </c:pt>
                <c:pt idx="5">
                  <c:v>2007</c:v>
                </c:pt>
                <c:pt idx="6">
                  <c:v>2008</c:v>
                </c:pt>
                <c:pt idx="7">
                  <c:v>2009</c:v>
                </c:pt>
                <c:pt idx="8">
                  <c:v>2010</c:v>
                </c:pt>
                <c:pt idx="9">
                  <c:v>2011</c:v>
                </c:pt>
                <c:pt idx="10">
                  <c:v>2012</c:v>
                </c:pt>
                <c:pt idx="11">
                  <c:v>2013</c:v>
                </c:pt>
              </c:numCache>
            </c:numRef>
          </c:cat>
          <c:val>
            <c:numRef>
              <c:f>Hoja1!$C$2:$C$13</c:f>
              <c:numCache>
                <c:formatCode>General</c:formatCode>
                <c:ptCount val="12"/>
                <c:pt idx="0">
                  <c:v>646</c:v>
                </c:pt>
                <c:pt idx="1">
                  <c:v>704</c:v>
                </c:pt>
                <c:pt idx="2">
                  <c:v>998</c:v>
                </c:pt>
                <c:pt idx="3" formatCode="#,##0">
                  <c:v>1342</c:v>
                </c:pt>
                <c:pt idx="4" formatCode="#,##0">
                  <c:v>2195</c:v>
                </c:pt>
                <c:pt idx="5" formatCode="#,##0">
                  <c:v>7456</c:v>
                </c:pt>
                <c:pt idx="6" formatCode="#,##0">
                  <c:v>7596</c:v>
                </c:pt>
                <c:pt idx="7" formatCode="#,##0">
                  <c:v>7041</c:v>
                </c:pt>
                <c:pt idx="8" formatCode="#,##0">
                  <c:v>10137</c:v>
                </c:pt>
                <c:pt idx="9" formatCode="#,##0">
                  <c:v>11959</c:v>
                </c:pt>
                <c:pt idx="10" formatCode="#,##0">
                  <c:v>17912</c:v>
                </c:pt>
                <c:pt idx="11" formatCode="#,##0">
                  <c:v>13581</c:v>
                </c:pt>
              </c:numCache>
            </c:numRef>
          </c:val>
        </c:ser>
        <c:ser>
          <c:idx val="2"/>
          <c:order val="2"/>
          <c:tx>
            <c:strRef>
              <c:f>Hoja1!$D$1</c:f>
              <c:strCache>
                <c:ptCount val="1"/>
                <c:pt idx="0">
                  <c:v>Saldo Migratorio</c:v>
                </c:pt>
              </c:strCache>
            </c:strRef>
          </c:tx>
          <c:marker>
            <c:symbol val="none"/>
          </c:marker>
          <c:cat>
            <c:numRef>
              <c:f>Hoja1!$A$2:$A$13</c:f>
              <c:numCache>
                <c:formatCode>General</c:formatCode>
                <c:ptCount val="12"/>
                <c:pt idx="0">
                  <c:v>2002</c:v>
                </c:pt>
                <c:pt idx="1">
                  <c:v>2003</c:v>
                </c:pt>
                <c:pt idx="2">
                  <c:v>2004</c:v>
                </c:pt>
                <c:pt idx="3">
                  <c:v>2005</c:v>
                </c:pt>
                <c:pt idx="4">
                  <c:v>2006</c:v>
                </c:pt>
                <c:pt idx="5">
                  <c:v>2007</c:v>
                </c:pt>
                <c:pt idx="6">
                  <c:v>2008</c:v>
                </c:pt>
                <c:pt idx="7">
                  <c:v>2009</c:v>
                </c:pt>
                <c:pt idx="8">
                  <c:v>2010</c:v>
                </c:pt>
                <c:pt idx="9">
                  <c:v>2011</c:v>
                </c:pt>
                <c:pt idx="10">
                  <c:v>2012</c:v>
                </c:pt>
                <c:pt idx="11">
                  <c:v>2013</c:v>
                </c:pt>
              </c:numCache>
            </c:numRef>
          </c:cat>
          <c:val>
            <c:numRef>
              <c:f>Hoja1!$D$2:$D$13</c:f>
              <c:numCache>
                <c:formatCode>General</c:formatCode>
                <c:ptCount val="12"/>
                <c:pt idx="0">
                  <c:v>21723</c:v>
                </c:pt>
                <c:pt idx="1">
                  <c:v>23748</c:v>
                </c:pt>
                <c:pt idx="2">
                  <c:v>26806</c:v>
                </c:pt>
                <c:pt idx="3">
                  <c:v>28558</c:v>
                </c:pt>
                <c:pt idx="4">
                  <c:v>28031</c:v>
                </c:pt>
                <c:pt idx="5">
                  <c:v>25079</c:v>
                </c:pt>
                <c:pt idx="6">
                  <c:v>16400</c:v>
                </c:pt>
                <c:pt idx="7">
                  <c:v>8975</c:v>
                </c:pt>
                <c:pt idx="8">
                  <c:v>2095</c:v>
                </c:pt>
                <c:pt idx="9">
                  <c:v>-410</c:v>
                </c:pt>
                <c:pt idx="10">
                  <c:v>-8247</c:v>
                </c:pt>
                <c:pt idx="11">
                  <c:v>-3859</c:v>
                </c:pt>
              </c:numCache>
            </c:numRef>
          </c:val>
        </c:ser>
        <c:marker val="1"/>
        <c:axId val="82155008"/>
        <c:axId val="82156544"/>
      </c:lineChart>
      <c:catAx>
        <c:axId val="82155008"/>
        <c:scaling>
          <c:orientation val="minMax"/>
        </c:scaling>
        <c:axPos val="b"/>
        <c:numFmt formatCode="General" sourceLinked="1"/>
        <c:majorTickMark val="none"/>
        <c:tickLblPos val="nextTo"/>
        <c:txPr>
          <a:bodyPr rot="-5400000" vert="horz"/>
          <a:lstStyle/>
          <a:p>
            <a:pPr>
              <a:defRPr sz="800"/>
            </a:pPr>
            <a:endParaRPr lang="es-ES"/>
          </a:p>
        </c:txPr>
        <c:crossAx val="82156544"/>
        <c:crosses val="autoZero"/>
        <c:auto val="1"/>
        <c:lblAlgn val="ctr"/>
        <c:lblOffset val="1000"/>
      </c:catAx>
      <c:valAx>
        <c:axId val="82156544"/>
        <c:scaling>
          <c:orientation val="minMax"/>
          <c:min val="-10000"/>
        </c:scaling>
        <c:axPos val="l"/>
        <c:majorGridlines/>
        <c:numFmt formatCode="#,##0" sourceLinked="1"/>
        <c:majorTickMark val="none"/>
        <c:tickLblPos val="nextTo"/>
        <c:spPr>
          <a:ln w="9525">
            <a:noFill/>
          </a:ln>
        </c:spPr>
        <c:txPr>
          <a:bodyPr/>
          <a:lstStyle/>
          <a:p>
            <a:pPr>
              <a:defRPr sz="800"/>
            </a:pPr>
            <a:endParaRPr lang="es-ES"/>
          </a:p>
        </c:txPr>
        <c:crossAx val="82155008"/>
        <c:crosses val="autoZero"/>
        <c:crossBetween val="midCat"/>
      </c:valAx>
    </c:plotArea>
    <c:legend>
      <c:legendPos val="b"/>
      <c:txPr>
        <a:bodyPr/>
        <a:lstStyle/>
        <a:p>
          <a:pPr>
            <a:defRPr sz="1000"/>
          </a:pPr>
          <a:endParaRPr lang="es-ES"/>
        </a:p>
      </c:txPr>
    </c:legend>
    <c:plotVisOnly val="1"/>
  </c:chart>
  <c:spPr>
    <a:ln>
      <a:noFill/>
    </a:ln>
  </c:spPr>
  <c:txPr>
    <a:bodyPr/>
    <a:lstStyle/>
    <a:p>
      <a:pPr>
        <a:defRPr sz="1100">
          <a:latin typeface="Arial" pitchFamily="34" charset="0"/>
          <a:cs typeface="Arial" pitchFamily="34" charset="0"/>
        </a:defRPr>
      </a:pPr>
      <a:endParaRPr lang="es-ES"/>
    </a:p>
  </c:txPr>
  <c:externalData r:id="rId1"/>
</c:chartSpace>
</file>

<file path=word/charts/chart11.xml><?xml version="1.0" encoding="utf-8"?>
<c:chartSpace xmlns:c="http://schemas.openxmlformats.org/drawingml/2006/chart" xmlns:a="http://schemas.openxmlformats.org/drawingml/2006/main" xmlns:r="http://schemas.openxmlformats.org/officeDocument/2006/relationships">
  <c:date1904 val="1"/>
  <c:lang val="es-ES"/>
  <c:chart>
    <c:autoTitleDeleted val="1"/>
    <c:plotArea>
      <c:layout/>
      <c:lineChart>
        <c:grouping val="standard"/>
        <c:ser>
          <c:idx val="0"/>
          <c:order val="0"/>
          <c:tx>
            <c:strRef>
              <c:f>Hoja1!$B$1</c:f>
              <c:strCache>
                <c:ptCount val="1"/>
                <c:pt idx="0">
                  <c:v>Españolas </c:v>
                </c:pt>
              </c:strCache>
            </c:strRef>
          </c:tx>
          <c:marker>
            <c:symbol val="none"/>
          </c:marker>
          <c:cat>
            <c:strRef>
              <c:f>Hoja1!$A$2:$A$8</c:f>
              <c:strCache>
                <c:ptCount val="7"/>
                <c:pt idx="0">
                  <c:v>15-19</c:v>
                </c:pt>
                <c:pt idx="1">
                  <c:v>20-24</c:v>
                </c:pt>
                <c:pt idx="2">
                  <c:v>25-29</c:v>
                </c:pt>
                <c:pt idx="3">
                  <c:v>30-34</c:v>
                </c:pt>
                <c:pt idx="4">
                  <c:v>35-39</c:v>
                </c:pt>
                <c:pt idx="5">
                  <c:v>40-44</c:v>
                </c:pt>
                <c:pt idx="6">
                  <c:v>45 y más</c:v>
                </c:pt>
              </c:strCache>
            </c:strRef>
          </c:cat>
          <c:val>
            <c:numRef>
              <c:f>Hoja1!$B$2:$B$8</c:f>
              <c:numCache>
                <c:formatCode>0</c:formatCode>
                <c:ptCount val="7"/>
                <c:pt idx="0">
                  <c:v>51.044477999999998</c:v>
                </c:pt>
                <c:pt idx="1">
                  <c:v>135.926503</c:v>
                </c:pt>
                <c:pt idx="2">
                  <c:v>309.00536899999969</c:v>
                </c:pt>
                <c:pt idx="3">
                  <c:v>526.73682100000008</c:v>
                </c:pt>
                <c:pt idx="4">
                  <c:v>330.141524</c:v>
                </c:pt>
                <c:pt idx="5">
                  <c:v>73.479640999999987</c:v>
                </c:pt>
                <c:pt idx="6">
                  <c:v>4.3290769999999945</c:v>
                </c:pt>
              </c:numCache>
            </c:numRef>
          </c:val>
        </c:ser>
        <c:ser>
          <c:idx val="1"/>
          <c:order val="1"/>
          <c:tx>
            <c:strRef>
              <c:f>Hoja1!$C$1</c:f>
              <c:strCache>
                <c:ptCount val="1"/>
                <c:pt idx="0">
                  <c:v>Extranjeras </c:v>
                </c:pt>
              </c:strCache>
            </c:strRef>
          </c:tx>
          <c:marker>
            <c:symbol val="none"/>
          </c:marker>
          <c:cat>
            <c:strRef>
              <c:f>Hoja1!$A$2:$A$8</c:f>
              <c:strCache>
                <c:ptCount val="7"/>
                <c:pt idx="0">
                  <c:v>15-19</c:v>
                </c:pt>
                <c:pt idx="1">
                  <c:v>20-24</c:v>
                </c:pt>
                <c:pt idx="2">
                  <c:v>25-29</c:v>
                </c:pt>
                <c:pt idx="3">
                  <c:v>30-34</c:v>
                </c:pt>
                <c:pt idx="4">
                  <c:v>35-39</c:v>
                </c:pt>
                <c:pt idx="5">
                  <c:v>40-44</c:v>
                </c:pt>
                <c:pt idx="6">
                  <c:v>45 y más</c:v>
                </c:pt>
              </c:strCache>
            </c:strRef>
          </c:cat>
          <c:val>
            <c:numRef>
              <c:f>Hoja1!$C$2:$C$8</c:f>
              <c:numCache>
                <c:formatCode>0</c:formatCode>
                <c:ptCount val="7"/>
                <c:pt idx="0">
                  <c:v>137.259817</c:v>
                </c:pt>
                <c:pt idx="1">
                  <c:v>476.63367799999969</c:v>
                </c:pt>
                <c:pt idx="2">
                  <c:v>520.06290899999794</c:v>
                </c:pt>
                <c:pt idx="3">
                  <c:v>398.72687399999904</c:v>
                </c:pt>
                <c:pt idx="4">
                  <c:v>269.01848000000001</c:v>
                </c:pt>
                <c:pt idx="5">
                  <c:v>87.383235999999982</c:v>
                </c:pt>
                <c:pt idx="6">
                  <c:v>5.5374930000000004</c:v>
                </c:pt>
              </c:numCache>
            </c:numRef>
          </c:val>
        </c:ser>
        <c:marker val="1"/>
        <c:axId val="82177024"/>
        <c:axId val="82223872"/>
      </c:lineChart>
      <c:catAx>
        <c:axId val="82177024"/>
        <c:scaling>
          <c:orientation val="minMax"/>
        </c:scaling>
        <c:axPos val="b"/>
        <c:majorTickMark val="none"/>
        <c:tickLblPos val="nextTo"/>
        <c:crossAx val="82223872"/>
        <c:crosses val="autoZero"/>
        <c:auto val="1"/>
        <c:lblAlgn val="ctr"/>
        <c:lblOffset val="100"/>
      </c:catAx>
      <c:valAx>
        <c:axId val="82223872"/>
        <c:scaling>
          <c:orientation val="minMax"/>
        </c:scaling>
        <c:axPos val="l"/>
        <c:majorGridlines/>
        <c:numFmt formatCode="0" sourceLinked="1"/>
        <c:majorTickMark val="none"/>
        <c:tickLblPos val="nextTo"/>
        <c:spPr>
          <a:ln w="9525">
            <a:noFill/>
          </a:ln>
        </c:spPr>
        <c:crossAx val="82177024"/>
        <c:crosses val="autoZero"/>
        <c:crossBetween val="between"/>
      </c:valAx>
    </c:plotArea>
    <c:legend>
      <c:legendPos val="b"/>
      <c:layout>
        <c:manualLayout>
          <c:xMode val="edge"/>
          <c:yMode val="edge"/>
          <c:x val="0.16529217986407171"/>
          <c:y val="0.85682365176051523"/>
          <c:w val="0.73632853990393377"/>
          <c:h val="7.2860300913090134E-2"/>
        </c:manualLayout>
      </c:layout>
    </c:legend>
    <c:plotVisOnly val="1"/>
  </c:chart>
  <c:spPr>
    <a:ln>
      <a:solidFill>
        <a:schemeClr val="bg1"/>
      </a:solidFill>
    </a:ln>
  </c:spPr>
  <c:txPr>
    <a:bodyPr/>
    <a:lstStyle/>
    <a:p>
      <a:pPr>
        <a:defRPr sz="1000">
          <a:latin typeface="Times New Roman" pitchFamily="18" charset="0"/>
          <a:cs typeface="Times New Roman" pitchFamily="18" charset="0"/>
        </a:defRPr>
      </a:pPr>
      <a:endParaRPr lang="es-ES"/>
    </a:p>
  </c:txPr>
  <c:externalData r:id="rId1"/>
</c:chartSpace>
</file>

<file path=word/charts/chart12.xml><?xml version="1.0" encoding="utf-8"?>
<c:chartSpace xmlns:c="http://schemas.openxmlformats.org/drawingml/2006/chart" xmlns:a="http://schemas.openxmlformats.org/drawingml/2006/main" xmlns:r="http://schemas.openxmlformats.org/officeDocument/2006/relationships">
  <c:date1904 val="1"/>
  <c:lang val="es-ES"/>
  <c:chart>
    <c:autoTitleDeleted val="1"/>
    <c:plotArea>
      <c:layout>
        <c:manualLayout>
          <c:layoutTarget val="inner"/>
          <c:xMode val="edge"/>
          <c:yMode val="edge"/>
          <c:x val="8.4349697677747179E-2"/>
          <c:y val="3.8757612202026809E-2"/>
          <c:w val="0.86122563504684135"/>
          <c:h val="0.70340450232182561"/>
        </c:manualLayout>
      </c:layout>
      <c:lineChart>
        <c:grouping val="standard"/>
        <c:ser>
          <c:idx val="0"/>
          <c:order val="0"/>
          <c:tx>
            <c:strRef>
              <c:f>Hoja1!$B$1</c:f>
              <c:strCache>
                <c:ptCount val="1"/>
                <c:pt idx="0">
                  <c:v>Española</c:v>
                </c:pt>
              </c:strCache>
            </c:strRef>
          </c:tx>
          <c:marker>
            <c:symbol val="none"/>
          </c:marker>
          <c:cat>
            <c:strRef>
              <c:f>Hoja1!$A$2:$A$13</c:f>
              <c:strCache>
                <c:ptCount val="12"/>
                <c:pt idx="0">
                  <c:v>2002</c:v>
                </c:pt>
                <c:pt idx="1">
                  <c:v>2003</c:v>
                </c:pt>
                <c:pt idx="2">
                  <c:v>2004</c:v>
                </c:pt>
                <c:pt idx="3">
                  <c:v>2005</c:v>
                </c:pt>
                <c:pt idx="4">
                  <c:v>2006</c:v>
                </c:pt>
                <c:pt idx="5">
                  <c:v>2007</c:v>
                </c:pt>
                <c:pt idx="6">
                  <c:v>2008</c:v>
                </c:pt>
                <c:pt idx="7">
                  <c:v>2009</c:v>
                </c:pt>
                <c:pt idx="8">
                  <c:v>2010</c:v>
                </c:pt>
                <c:pt idx="9">
                  <c:v>2011</c:v>
                </c:pt>
                <c:pt idx="10">
                  <c:v>2012</c:v>
                </c:pt>
                <c:pt idx="11">
                  <c:v>2013</c:v>
                </c:pt>
              </c:strCache>
            </c:strRef>
          </c:cat>
          <c:val>
            <c:numRef>
              <c:f>Hoja1!$B$2:$B$13</c:f>
              <c:numCache>
                <c:formatCode>#,##0.00</c:formatCode>
                <c:ptCount val="12"/>
                <c:pt idx="0">
                  <c:v>1.4154309999999963</c:v>
                </c:pt>
                <c:pt idx="1">
                  <c:v>1.4666399999999966</c:v>
                </c:pt>
                <c:pt idx="2">
                  <c:v>1.462858</c:v>
                </c:pt>
                <c:pt idx="3">
                  <c:v>1.4933919999999954</c:v>
                </c:pt>
                <c:pt idx="4">
                  <c:v>1.534681</c:v>
                </c:pt>
                <c:pt idx="5">
                  <c:v>1.5192409999999998</c:v>
                </c:pt>
                <c:pt idx="6">
                  <c:v>1.5598349999999961</c:v>
                </c:pt>
                <c:pt idx="7">
                  <c:v>1.5103869999999999</c:v>
                </c:pt>
                <c:pt idx="8">
                  <c:v>1.4894679999999998</c:v>
                </c:pt>
                <c:pt idx="9">
                  <c:v>1.4673389999999966</c:v>
                </c:pt>
                <c:pt idx="10">
                  <c:v>1.4353249999999935</c:v>
                </c:pt>
                <c:pt idx="11">
                  <c:v>1.4306629999999998</c:v>
                </c:pt>
              </c:numCache>
            </c:numRef>
          </c:val>
        </c:ser>
        <c:ser>
          <c:idx val="1"/>
          <c:order val="1"/>
          <c:tx>
            <c:strRef>
              <c:f>Hoja1!$C$1</c:f>
              <c:strCache>
                <c:ptCount val="1"/>
                <c:pt idx="0">
                  <c:v>Extranjera</c:v>
                </c:pt>
              </c:strCache>
            </c:strRef>
          </c:tx>
          <c:marker>
            <c:symbol val="none"/>
          </c:marker>
          <c:cat>
            <c:strRef>
              <c:f>Hoja1!$A$2:$A$13</c:f>
              <c:strCache>
                <c:ptCount val="12"/>
                <c:pt idx="0">
                  <c:v>2002</c:v>
                </c:pt>
                <c:pt idx="1">
                  <c:v>2003</c:v>
                </c:pt>
                <c:pt idx="2">
                  <c:v>2004</c:v>
                </c:pt>
                <c:pt idx="3">
                  <c:v>2005</c:v>
                </c:pt>
                <c:pt idx="4">
                  <c:v>2006</c:v>
                </c:pt>
                <c:pt idx="5">
                  <c:v>2007</c:v>
                </c:pt>
                <c:pt idx="6">
                  <c:v>2008</c:v>
                </c:pt>
                <c:pt idx="7">
                  <c:v>2009</c:v>
                </c:pt>
                <c:pt idx="8">
                  <c:v>2010</c:v>
                </c:pt>
                <c:pt idx="9">
                  <c:v>2011</c:v>
                </c:pt>
                <c:pt idx="10">
                  <c:v>2012</c:v>
                </c:pt>
                <c:pt idx="11">
                  <c:v>2013</c:v>
                </c:pt>
              </c:strCache>
            </c:strRef>
          </c:cat>
          <c:val>
            <c:numRef>
              <c:f>Hoja1!$C$2:$C$13</c:f>
              <c:numCache>
                <c:formatCode>#,##0.00</c:formatCode>
                <c:ptCount val="12"/>
                <c:pt idx="0">
                  <c:v>2.4664059999999925</c:v>
                </c:pt>
                <c:pt idx="1">
                  <c:v>2.3303889999999967</c:v>
                </c:pt>
                <c:pt idx="2">
                  <c:v>2.2225039999999998</c:v>
                </c:pt>
                <c:pt idx="3">
                  <c:v>2.1345839999999998</c:v>
                </c:pt>
                <c:pt idx="4">
                  <c:v>2.1224279999999998</c:v>
                </c:pt>
                <c:pt idx="5">
                  <c:v>2.1614599999999977</c:v>
                </c:pt>
                <c:pt idx="6">
                  <c:v>2.227646</c:v>
                </c:pt>
                <c:pt idx="7">
                  <c:v>2.0762619999999967</c:v>
                </c:pt>
                <c:pt idx="8">
                  <c:v>2.0197029999999967</c:v>
                </c:pt>
                <c:pt idx="9">
                  <c:v>1.98939</c:v>
                </c:pt>
                <c:pt idx="10">
                  <c:v>1.9631149999999999</c:v>
                </c:pt>
                <c:pt idx="11">
                  <c:v>1.894622</c:v>
                </c:pt>
              </c:numCache>
            </c:numRef>
          </c:val>
        </c:ser>
        <c:ser>
          <c:idx val="2"/>
          <c:order val="2"/>
          <c:tx>
            <c:strRef>
              <c:f>Hoja1!$D$1</c:f>
              <c:strCache>
                <c:ptCount val="1"/>
                <c:pt idx="0">
                  <c:v>Reposición</c:v>
                </c:pt>
              </c:strCache>
            </c:strRef>
          </c:tx>
          <c:marker>
            <c:symbol val="none"/>
          </c:marker>
          <c:cat>
            <c:strRef>
              <c:f>Hoja1!$A$2:$A$13</c:f>
              <c:strCache>
                <c:ptCount val="12"/>
                <c:pt idx="0">
                  <c:v>2002</c:v>
                </c:pt>
                <c:pt idx="1">
                  <c:v>2003</c:v>
                </c:pt>
                <c:pt idx="2">
                  <c:v>2004</c:v>
                </c:pt>
                <c:pt idx="3">
                  <c:v>2005</c:v>
                </c:pt>
                <c:pt idx="4">
                  <c:v>2006</c:v>
                </c:pt>
                <c:pt idx="5">
                  <c:v>2007</c:v>
                </c:pt>
                <c:pt idx="6">
                  <c:v>2008</c:v>
                </c:pt>
                <c:pt idx="7">
                  <c:v>2009</c:v>
                </c:pt>
                <c:pt idx="8">
                  <c:v>2010</c:v>
                </c:pt>
                <c:pt idx="9">
                  <c:v>2011</c:v>
                </c:pt>
                <c:pt idx="10">
                  <c:v>2012</c:v>
                </c:pt>
                <c:pt idx="11">
                  <c:v>2013</c:v>
                </c:pt>
              </c:strCache>
            </c:strRef>
          </c:cat>
          <c:val>
            <c:numRef>
              <c:f>Hoja1!$D$2:$D$13</c:f>
              <c:numCache>
                <c:formatCode>General</c:formatCode>
                <c:ptCount val="12"/>
                <c:pt idx="0">
                  <c:v>2.1</c:v>
                </c:pt>
                <c:pt idx="1">
                  <c:v>2.1</c:v>
                </c:pt>
                <c:pt idx="2">
                  <c:v>2.1</c:v>
                </c:pt>
                <c:pt idx="3">
                  <c:v>2.1</c:v>
                </c:pt>
                <c:pt idx="4">
                  <c:v>2.1</c:v>
                </c:pt>
                <c:pt idx="5">
                  <c:v>2.1</c:v>
                </c:pt>
                <c:pt idx="6">
                  <c:v>2.1</c:v>
                </c:pt>
                <c:pt idx="7">
                  <c:v>2.1</c:v>
                </c:pt>
                <c:pt idx="8">
                  <c:v>2.1</c:v>
                </c:pt>
                <c:pt idx="9">
                  <c:v>2.1</c:v>
                </c:pt>
                <c:pt idx="10">
                  <c:v>2.1</c:v>
                </c:pt>
                <c:pt idx="11">
                  <c:v>2.1</c:v>
                </c:pt>
              </c:numCache>
            </c:numRef>
          </c:val>
        </c:ser>
        <c:marker val="1"/>
        <c:axId val="70211072"/>
        <c:axId val="70212608"/>
      </c:lineChart>
      <c:catAx>
        <c:axId val="70211072"/>
        <c:scaling>
          <c:orientation val="minMax"/>
        </c:scaling>
        <c:axPos val="b"/>
        <c:numFmt formatCode="General" sourceLinked="1"/>
        <c:majorTickMark val="none"/>
        <c:tickLblPos val="nextTo"/>
        <c:crossAx val="70212608"/>
        <c:crosses val="autoZero"/>
        <c:auto val="1"/>
        <c:lblAlgn val="ctr"/>
        <c:lblOffset val="100"/>
      </c:catAx>
      <c:valAx>
        <c:axId val="70212608"/>
        <c:scaling>
          <c:orientation val="minMax"/>
          <c:max val="2.5"/>
          <c:min val="1"/>
        </c:scaling>
        <c:axPos val="l"/>
        <c:majorGridlines/>
        <c:numFmt formatCode="#,##0.00" sourceLinked="1"/>
        <c:majorTickMark val="none"/>
        <c:tickLblPos val="nextTo"/>
        <c:spPr>
          <a:ln w="9525">
            <a:noFill/>
          </a:ln>
        </c:spPr>
        <c:crossAx val="70211072"/>
        <c:crosses val="autoZero"/>
        <c:crossBetween val="midCat"/>
      </c:valAx>
    </c:plotArea>
    <c:legend>
      <c:legendPos val="b"/>
      <c:layout>
        <c:manualLayout>
          <c:xMode val="edge"/>
          <c:yMode val="edge"/>
          <c:x val="0.19454282599077938"/>
          <c:y val="0.90492681203311498"/>
          <c:w val="0.71959462236394722"/>
          <c:h val="9.5073187966888739E-2"/>
        </c:manualLayout>
      </c:layout>
    </c:legend>
    <c:plotVisOnly val="1"/>
  </c:chart>
  <c:spPr>
    <a:ln>
      <a:solidFill>
        <a:schemeClr val="bg1"/>
      </a:solidFill>
    </a:ln>
  </c:spPr>
  <c:txPr>
    <a:bodyPr/>
    <a:lstStyle/>
    <a:p>
      <a:pPr>
        <a:defRPr sz="1000">
          <a:latin typeface="Times New Roman" pitchFamily="18" charset="0"/>
          <a:cs typeface="Times New Roman" pitchFamily="18" charset="0"/>
        </a:defRPr>
      </a:pPr>
      <a:endParaRPr lang="es-ES"/>
    </a:p>
  </c:txPr>
  <c:externalData r:id="rId1"/>
</c:chartSpace>
</file>

<file path=word/charts/chart13.xml><?xml version="1.0" encoding="utf-8"?>
<c:chartSpace xmlns:c="http://schemas.openxmlformats.org/drawingml/2006/chart" xmlns:a="http://schemas.openxmlformats.org/drawingml/2006/main" xmlns:r="http://schemas.openxmlformats.org/officeDocument/2006/relationships">
  <c:date1904 val="1"/>
  <c:lang val="es-ES"/>
  <c:chart>
    <c:title>
      <c:tx>
        <c:rich>
          <a:bodyPr/>
          <a:lstStyle/>
          <a:p>
            <a:pPr>
              <a:defRPr/>
            </a:pPr>
            <a:r>
              <a:rPr lang="es-ES"/>
              <a:t>%</a:t>
            </a:r>
          </a:p>
        </c:rich>
      </c:tx>
      <c:layout>
        <c:manualLayout>
          <c:xMode val="edge"/>
          <c:yMode val="edge"/>
          <c:x val="0.20858837887634182"/>
          <c:y val="0.95423288812447971"/>
        </c:manualLayout>
      </c:layout>
    </c:title>
    <c:plotArea>
      <c:layout>
        <c:manualLayout>
          <c:layoutTarget val="inner"/>
          <c:xMode val="edge"/>
          <c:yMode val="edge"/>
          <c:x val="0.33901054109708711"/>
          <c:y val="4.7458983593437434E-2"/>
          <c:w val="0.62687814831045585"/>
          <c:h val="0.90105279502178259"/>
        </c:manualLayout>
      </c:layout>
      <c:barChart>
        <c:barDir val="bar"/>
        <c:grouping val="stacked"/>
        <c:ser>
          <c:idx val="0"/>
          <c:order val="0"/>
          <c:tx>
            <c:strRef>
              <c:f>'Grupos edad'!$D$137</c:f>
              <c:strCache>
                <c:ptCount val="1"/>
                <c:pt idx="0">
                  <c:v>0-14</c:v>
                </c:pt>
              </c:strCache>
            </c:strRef>
          </c:tx>
          <c:cat>
            <c:strRef>
              <c:f>'Grupos edad'!$C$138:$C$182</c:f>
              <c:strCache>
                <c:ptCount val="45"/>
                <c:pt idx="0">
                  <c:v>  Yecla</c:v>
                </c:pt>
                <c:pt idx="1">
                  <c:v>  Villanueva del Río Segura</c:v>
                </c:pt>
                <c:pt idx="2">
                  <c:v>  Unión (La)</c:v>
                </c:pt>
                <c:pt idx="3">
                  <c:v>  Ulea</c:v>
                </c:pt>
                <c:pt idx="4">
                  <c:v>  Totana</c:v>
                </c:pt>
                <c:pt idx="5">
                  <c:v>  Torres de Cotillas (Las)</c:v>
                </c:pt>
                <c:pt idx="6">
                  <c:v>  Torre-Pacheco</c:v>
                </c:pt>
                <c:pt idx="7">
                  <c:v>  Santomera</c:v>
                </c:pt>
                <c:pt idx="8">
                  <c:v>  San Pedro del Pinatar</c:v>
                </c:pt>
                <c:pt idx="9">
                  <c:v>  San Javier</c:v>
                </c:pt>
                <c:pt idx="10">
                  <c:v>  Ricote</c:v>
                </c:pt>
                <c:pt idx="11">
                  <c:v>  Puerto-Lumbreras</c:v>
                </c:pt>
                <c:pt idx="12">
                  <c:v>  Pliego</c:v>
                </c:pt>
                <c:pt idx="13">
                  <c:v>  Ojós</c:v>
                </c:pt>
                <c:pt idx="14">
                  <c:v>  Murcia</c:v>
                </c:pt>
                <c:pt idx="15">
                  <c:v>  Mula</c:v>
                </c:pt>
                <c:pt idx="16">
                  <c:v>  Moratalla</c:v>
                </c:pt>
                <c:pt idx="17">
                  <c:v>  Molina de Segura</c:v>
                </c:pt>
                <c:pt idx="18">
                  <c:v>  Mazarrón</c:v>
                </c:pt>
                <c:pt idx="19">
                  <c:v>  Lorquí</c:v>
                </c:pt>
                <c:pt idx="20">
                  <c:v>  Lorca</c:v>
                </c:pt>
                <c:pt idx="21">
                  <c:v>  Librilla</c:v>
                </c:pt>
                <c:pt idx="22">
                  <c:v>  Jumilla</c:v>
                </c:pt>
                <c:pt idx="23">
                  <c:v>  Fuente-Álamo</c:v>
                </c:pt>
                <c:pt idx="24">
                  <c:v>  Fortuna</c:v>
                </c:pt>
                <c:pt idx="25">
                  <c:v>  Cieza</c:v>
                </c:pt>
                <c:pt idx="26">
                  <c:v>  Ceutí</c:v>
                </c:pt>
                <c:pt idx="27">
                  <c:v>  Cehegín</c:v>
                </c:pt>
                <c:pt idx="28">
                  <c:v>  Cartagena</c:v>
                </c:pt>
                <c:pt idx="29">
                  <c:v>  Caravaca de la Cruz</c:v>
                </c:pt>
                <c:pt idx="30">
                  <c:v>  Campos del Río</c:v>
                </c:pt>
                <c:pt idx="31">
                  <c:v>  Calasparra</c:v>
                </c:pt>
                <c:pt idx="32">
                  <c:v>  Bullas</c:v>
                </c:pt>
                <c:pt idx="33">
                  <c:v>  Blanca</c:v>
                </c:pt>
                <c:pt idx="34">
                  <c:v>  Beniel</c:v>
                </c:pt>
                <c:pt idx="35">
                  <c:v>  Archena</c:v>
                </c:pt>
                <c:pt idx="36">
                  <c:v>  Alhama de Murcia</c:v>
                </c:pt>
                <c:pt idx="37">
                  <c:v>  Alguazas</c:v>
                </c:pt>
                <c:pt idx="38">
                  <c:v>  Aledo</c:v>
                </c:pt>
                <c:pt idx="39">
                  <c:v>  Alcázares (Los)</c:v>
                </c:pt>
                <c:pt idx="40">
                  <c:v>  Alcantarilla</c:v>
                </c:pt>
                <c:pt idx="41">
                  <c:v>  Albudeite</c:v>
                </c:pt>
                <c:pt idx="42">
                  <c:v>  Águilas</c:v>
                </c:pt>
                <c:pt idx="43">
                  <c:v>  Abarán</c:v>
                </c:pt>
                <c:pt idx="44">
                  <c:v>  Abanilla</c:v>
                </c:pt>
              </c:strCache>
            </c:strRef>
          </c:cat>
          <c:val>
            <c:numRef>
              <c:f>'Grupos edad'!$D$138:$D$182</c:f>
              <c:numCache>
                <c:formatCode>General</c:formatCode>
                <c:ptCount val="45"/>
                <c:pt idx="0">
                  <c:v>18.631698310702795</c:v>
                </c:pt>
                <c:pt idx="1">
                  <c:v>17.354022049816251</c:v>
                </c:pt>
                <c:pt idx="2">
                  <c:v>20.427763069096194</c:v>
                </c:pt>
                <c:pt idx="3">
                  <c:v>12.834224598930481</c:v>
                </c:pt>
                <c:pt idx="4">
                  <c:v>18.34274829216821</c:v>
                </c:pt>
                <c:pt idx="5">
                  <c:v>19.003014143287736</c:v>
                </c:pt>
                <c:pt idx="6">
                  <c:v>21.447505584512282</c:v>
                </c:pt>
                <c:pt idx="7">
                  <c:v>19.793579433924734</c:v>
                </c:pt>
                <c:pt idx="8">
                  <c:v>18.932038834950689</c:v>
                </c:pt>
                <c:pt idx="9">
                  <c:v>18.562801195632293</c:v>
                </c:pt>
                <c:pt idx="10">
                  <c:v>11.362032462950006</c:v>
                </c:pt>
                <c:pt idx="11">
                  <c:v>17.330403735237571</c:v>
                </c:pt>
                <c:pt idx="12">
                  <c:v>16.431684183542693</c:v>
                </c:pt>
                <c:pt idx="13">
                  <c:v>7.1563088512241064</c:v>
                </c:pt>
                <c:pt idx="14">
                  <c:v>17.498163132120538</c:v>
                </c:pt>
                <c:pt idx="15">
                  <c:v>17.236325262355628</c:v>
                </c:pt>
                <c:pt idx="16">
                  <c:v>12.212905577834487</c:v>
                </c:pt>
                <c:pt idx="17">
                  <c:v>19.221329437545489</c:v>
                </c:pt>
                <c:pt idx="18">
                  <c:v>14.253666470373799</c:v>
                </c:pt>
                <c:pt idx="19">
                  <c:v>16.939890710382535</c:v>
                </c:pt>
                <c:pt idx="20">
                  <c:v>17.454000301990984</c:v>
                </c:pt>
                <c:pt idx="21">
                  <c:v>16.615003099814135</c:v>
                </c:pt>
                <c:pt idx="22">
                  <c:v>17.444574095682615</c:v>
                </c:pt>
                <c:pt idx="23">
                  <c:v>18.892019905270089</c:v>
                </c:pt>
                <c:pt idx="24">
                  <c:v>17.624441442377627</c:v>
                </c:pt>
                <c:pt idx="25">
                  <c:v>17.261634506242789</c:v>
                </c:pt>
                <c:pt idx="26">
                  <c:v>19.33983769490289</c:v>
                </c:pt>
                <c:pt idx="27">
                  <c:v>15.03042970430935</c:v>
                </c:pt>
                <c:pt idx="28">
                  <c:v>17.642815462160161</c:v>
                </c:pt>
                <c:pt idx="29">
                  <c:v>16.684598831847527</c:v>
                </c:pt>
                <c:pt idx="30">
                  <c:v>14.292279411764707</c:v>
                </c:pt>
                <c:pt idx="31">
                  <c:v>14.680810759613561</c:v>
                </c:pt>
                <c:pt idx="32">
                  <c:v>16.105143229166629</c:v>
                </c:pt>
                <c:pt idx="33">
                  <c:v>15.897832817337576</c:v>
                </c:pt>
                <c:pt idx="34">
                  <c:v>18.817204301075268</c:v>
                </c:pt>
                <c:pt idx="35">
                  <c:v>17.230115956230605</c:v>
                </c:pt>
                <c:pt idx="36">
                  <c:v>17.755641582474489</c:v>
                </c:pt>
                <c:pt idx="37">
                  <c:v>19.61441743503773</c:v>
                </c:pt>
                <c:pt idx="38">
                  <c:v>12.749003984063743</c:v>
                </c:pt>
                <c:pt idx="39">
                  <c:v>17.298406566875489</c:v>
                </c:pt>
                <c:pt idx="40">
                  <c:v>18.272515050988989</c:v>
                </c:pt>
                <c:pt idx="41">
                  <c:v>14.514952589350838</c:v>
                </c:pt>
                <c:pt idx="42">
                  <c:v>17.294589178356713</c:v>
                </c:pt>
                <c:pt idx="43">
                  <c:v>15.193433153454436</c:v>
                </c:pt>
                <c:pt idx="44">
                  <c:v>12.835365853658537</c:v>
                </c:pt>
              </c:numCache>
            </c:numRef>
          </c:val>
        </c:ser>
        <c:ser>
          <c:idx val="1"/>
          <c:order val="1"/>
          <c:tx>
            <c:strRef>
              <c:f>'Grupos edad'!$E$137</c:f>
              <c:strCache>
                <c:ptCount val="1"/>
                <c:pt idx="0">
                  <c:v>15-64</c:v>
                </c:pt>
              </c:strCache>
            </c:strRef>
          </c:tx>
          <c:cat>
            <c:strRef>
              <c:f>'Grupos edad'!$C$138:$C$182</c:f>
              <c:strCache>
                <c:ptCount val="45"/>
                <c:pt idx="0">
                  <c:v>  Yecla</c:v>
                </c:pt>
                <c:pt idx="1">
                  <c:v>  Villanueva del Río Segura</c:v>
                </c:pt>
                <c:pt idx="2">
                  <c:v>  Unión (La)</c:v>
                </c:pt>
                <c:pt idx="3">
                  <c:v>  Ulea</c:v>
                </c:pt>
                <c:pt idx="4">
                  <c:v>  Totana</c:v>
                </c:pt>
                <c:pt idx="5">
                  <c:v>  Torres de Cotillas (Las)</c:v>
                </c:pt>
                <c:pt idx="6">
                  <c:v>  Torre-Pacheco</c:v>
                </c:pt>
                <c:pt idx="7">
                  <c:v>  Santomera</c:v>
                </c:pt>
                <c:pt idx="8">
                  <c:v>  San Pedro del Pinatar</c:v>
                </c:pt>
                <c:pt idx="9">
                  <c:v>  San Javier</c:v>
                </c:pt>
                <c:pt idx="10">
                  <c:v>  Ricote</c:v>
                </c:pt>
                <c:pt idx="11">
                  <c:v>  Puerto-Lumbreras</c:v>
                </c:pt>
                <c:pt idx="12">
                  <c:v>  Pliego</c:v>
                </c:pt>
                <c:pt idx="13">
                  <c:v>  Ojós</c:v>
                </c:pt>
                <c:pt idx="14">
                  <c:v>  Murcia</c:v>
                </c:pt>
                <c:pt idx="15">
                  <c:v>  Mula</c:v>
                </c:pt>
                <c:pt idx="16">
                  <c:v>  Moratalla</c:v>
                </c:pt>
                <c:pt idx="17">
                  <c:v>  Molina de Segura</c:v>
                </c:pt>
                <c:pt idx="18">
                  <c:v>  Mazarrón</c:v>
                </c:pt>
                <c:pt idx="19">
                  <c:v>  Lorquí</c:v>
                </c:pt>
                <c:pt idx="20">
                  <c:v>  Lorca</c:v>
                </c:pt>
                <c:pt idx="21">
                  <c:v>  Librilla</c:v>
                </c:pt>
                <c:pt idx="22">
                  <c:v>  Jumilla</c:v>
                </c:pt>
                <c:pt idx="23">
                  <c:v>  Fuente-Álamo</c:v>
                </c:pt>
                <c:pt idx="24">
                  <c:v>  Fortuna</c:v>
                </c:pt>
                <c:pt idx="25">
                  <c:v>  Cieza</c:v>
                </c:pt>
                <c:pt idx="26">
                  <c:v>  Ceutí</c:v>
                </c:pt>
                <c:pt idx="27">
                  <c:v>  Cehegín</c:v>
                </c:pt>
                <c:pt idx="28">
                  <c:v>  Cartagena</c:v>
                </c:pt>
                <c:pt idx="29">
                  <c:v>  Caravaca de la Cruz</c:v>
                </c:pt>
                <c:pt idx="30">
                  <c:v>  Campos del Río</c:v>
                </c:pt>
                <c:pt idx="31">
                  <c:v>  Calasparra</c:v>
                </c:pt>
                <c:pt idx="32">
                  <c:v>  Bullas</c:v>
                </c:pt>
                <c:pt idx="33">
                  <c:v>  Blanca</c:v>
                </c:pt>
                <c:pt idx="34">
                  <c:v>  Beniel</c:v>
                </c:pt>
                <c:pt idx="35">
                  <c:v>  Archena</c:v>
                </c:pt>
                <c:pt idx="36">
                  <c:v>  Alhama de Murcia</c:v>
                </c:pt>
                <c:pt idx="37">
                  <c:v>  Alguazas</c:v>
                </c:pt>
                <c:pt idx="38">
                  <c:v>  Aledo</c:v>
                </c:pt>
                <c:pt idx="39">
                  <c:v>  Alcázares (Los)</c:v>
                </c:pt>
                <c:pt idx="40">
                  <c:v>  Alcantarilla</c:v>
                </c:pt>
                <c:pt idx="41">
                  <c:v>  Albudeite</c:v>
                </c:pt>
                <c:pt idx="42">
                  <c:v>  Águilas</c:v>
                </c:pt>
                <c:pt idx="43">
                  <c:v>  Abarán</c:v>
                </c:pt>
                <c:pt idx="44">
                  <c:v>  Abanilla</c:v>
                </c:pt>
              </c:strCache>
            </c:strRef>
          </c:cat>
          <c:val>
            <c:numRef>
              <c:f>'Grupos edad'!$E$138:$E$182</c:f>
              <c:numCache>
                <c:formatCode>General</c:formatCode>
                <c:ptCount val="45"/>
                <c:pt idx="0">
                  <c:v>66.996191085400127</c:v>
                </c:pt>
                <c:pt idx="1">
                  <c:v>67.619436504695358</c:v>
                </c:pt>
                <c:pt idx="2">
                  <c:v>68.068317499870233</c:v>
                </c:pt>
                <c:pt idx="3">
                  <c:v>61.390374331551413</c:v>
                </c:pt>
                <c:pt idx="4">
                  <c:v>68.093142406726159</c:v>
                </c:pt>
                <c:pt idx="5">
                  <c:v>69.524692789241826</c:v>
                </c:pt>
                <c:pt idx="6">
                  <c:v>68.205510052122108</c:v>
                </c:pt>
                <c:pt idx="7">
                  <c:v>67.8908377129043</c:v>
                </c:pt>
                <c:pt idx="8">
                  <c:v>66.645921500290413</c:v>
                </c:pt>
                <c:pt idx="9">
                  <c:v>67.577624595864094</c:v>
                </c:pt>
                <c:pt idx="10">
                  <c:v>62.385321100917395</c:v>
                </c:pt>
                <c:pt idx="11">
                  <c:v>66.609447953852097</c:v>
                </c:pt>
                <c:pt idx="12">
                  <c:v>63.317098179953845</c:v>
                </c:pt>
                <c:pt idx="13">
                  <c:v>71.374764595103585</c:v>
                </c:pt>
                <c:pt idx="14">
                  <c:v>68.177005608722041</c:v>
                </c:pt>
                <c:pt idx="15">
                  <c:v>67.591018350237434</c:v>
                </c:pt>
                <c:pt idx="16">
                  <c:v>64.406367723903273</c:v>
                </c:pt>
                <c:pt idx="17">
                  <c:v>70.153396639882658</c:v>
                </c:pt>
                <c:pt idx="18">
                  <c:v>65.183253414093812</c:v>
                </c:pt>
                <c:pt idx="19">
                  <c:v>70.506183491515827</c:v>
                </c:pt>
                <c:pt idx="20">
                  <c:v>68.474298410233175</c:v>
                </c:pt>
                <c:pt idx="21">
                  <c:v>66.108700144649646</c:v>
                </c:pt>
                <c:pt idx="22">
                  <c:v>69.082069233761189</c:v>
                </c:pt>
                <c:pt idx="23">
                  <c:v>68.499310510222429</c:v>
                </c:pt>
                <c:pt idx="24">
                  <c:v>67.930998649069934</c:v>
                </c:pt>
                <c:pt idx="25">
                  <c:v>67.281498297389319</c:v>
                </c:pt>
                <c:pt idx="26">
                  <c:v>69.107321965897697</c:v>
                </c:pt>
                <c:pt idx="27">
                  <c:v>66.883875330415549</c:v>
                </c:pt>
                <c:pt idx="28">
                  <c:v>66.907889598007827</c:v>
                </c:pt>
                <c:pt idx="29">
                  <c:v>66.035198278512141</c:v>
                </c:pt>
                <c:pt idx="30">
                  <c:v>67.463235294119627</c:v>
                </c:pt>
                <c:pt idx="31">
                  <c:v>67.039211971964392</c:v>
                </c:pt>
                <c:pt idx="32">
                  <c:v>66.845703125</c:v>
                </c:pt>
                <c:pt idx="33">
                  <c:v>65.603715170278619</c:v>
                </c:pt>
                <c:pt idx="34">
                  <c:v>69.363799283154108</c:v>
                </c:pt>
                <c:pt idx="35">
                  <c:v>68.321628831182949</c:v>
                </c:pt>
                <c:pt idx="36">
                  <c:v>68.043621943159295</c:v>
                </c:pt>
                <c:pt idx="37">
                  <c:v>68.440905280804827</c:v>
                </c:pt>
                <c:pt idx="38">
                  <c:v>62.649402390438262</c:v>
                </c:pt>
                <c:pt idx="39">
                  <c:v>65.523901496861058</c:v>
                </c:pt>
                <c:pt idx="40">
                  <c:v>69.123971003802097</c:v>
                </c:pt>
                <c:pt idx="41">
                  <c:v>66.885485047407258</c:v>
                </c:pt>
                <c:pt idx="42">
                  <c:v>67.955911823647298</c:v>
                </c:pt>
                <c:pt idx="43">
                  <c:v>68.336246864786759</c:v>
                </c:pt>
                <c:pt idx="44">
                  <c:v>63.307926829265995</c:v>
                </c:pt>
              </c:numCache>
            </c:numRef>
          </c:val>
        </c:ser>
        <c:ser>
          <c:idx val="2"/>
          <c:order val="2"/>
          <c:tx>
            <c:strRef>
              <c:f>'Grupos edad'!$F$137</c:f>
              <c:strCache>
                <c:ptCount val="1"/>
                <c:pt idx="0">
                  <c:v>&gt;65</c:v>
                </c:pt>
              </c:strCache>
            </c:strRef>
          </c:tx>
          <c:cat>
            <c:strRef>
              <c:f>'Grupos edad'!$C$138:$C$182</c:f>
              <c:strCache>
                <c:ptCount val="45"/>
                <c:pt idx="0">
                  <c:v>  Yecla</c:v>
                </c:pt>
                <c:pt idx="1">
                  <c:v>  Villanueva del Río Segura</c:v>
                </c:pt>
                <c:pt idx="2">
                  <c:v>  Unión (La)</c:v>
                </c:pt>
                <c:pt idx="3">
                  <c:v>  Ulea</c:v>
                </c:pt>
                <c:pt idx="4">
                  <c:v>  Totana</c:v>
                </c:pt>
                <c:pt idx="5">
                  <c:v>  Torres de Cotillas (Las)</c:v>
                </c:pt>
                <c:pt idx="6">
                  <c:v>  Torre-Pacheco</c:v>
                </c:pt>
                <c:pt idx="7">
                  <c:v>  Santomera</c:v>
                </c:pt>
                <c:pt idx="8">
                  <c:v>  San Pedro del Pinatar</c:v>
                </c:pt>
                <c:pt idx="9">
                  <c:v>  San Javier</c:v>
                </c:pt>
                <c:pt idx="10">
                  <c:v>  Ricote</c:v>
                </c:pt>
                <c:pt idx="11">
                  <c:v>  Puerto-Lumbreras</c:v>
                </c:pt>
                <c:pt idx="12">
                  <c:v>  Pliego</c:v>
                </c:pt>
                <c:pt idx="13">
                  <c:v>  Ojós</c:v>
                </c:pt>
                <c:pt idx="14">
                  <c:v>  Murcia</c:v>
                </c:pt>
                <c:pt idx="15">
                  <c:v>  Mula</c:v>
                </c:pt>
                <c:pt idx="16">
                  <c:v>  Moratalla</c:v>
                </c:pt>
                <c:pt idx="17">
                  <c:v>  Molina de Segura</c:v>
                </c:pt>
                <c:pt idx="18">
                  <c:v>  Mazarrón</c:v>
                </c:pt>
                <c:pt idx="19">
                  <c:v>  Lorquí</c:v>
                </c:pt>
                <c:pt idx="20">
                  <c:v>  Lorca</c:v>
                </c:pt>
                <c:pt idx="21">
                  <c:v>  Librilla</c:v>
                </c:pt>
                <c:pt idx="22">
                  <c:v>  Jumilla</c:v>
                </c:pt>
                <c:pt idx="23">
                  <c:v>  Fuente-Álamo</c:v>
                </c:pt>
                <c:pt idx="24">
                  <c:v>  Fortuna</c:v>
                </c:pt>
                <c:pt idx="25">
                  <c:v>  Cieza</c:v>
                </c:pt>
                <c:pt idx="26">
                  <c:v>  Ceutí</c:v>
                </c:pt>
                <c:pt idx="27">
                  <c:v>  Cehegín</c:v>
                </c:pt>
                <c:pt idx="28">
                  <c:v>  Cartagena</c:v>
                </c:pt>
                <c:pt idx="29">
                  <c:v>  Caravaca de la Cruz</c:v>
                </c:pt>
                <c:pt idx="30">
                  <c:v>  Campos del Río</c:v>
                </c:pt>
                <c:pt idx="31">
                  <c:v>  Calasparra</c:v>
                </c:pt>
                <c:pt idx="32">
                  <c:v>  Bullas</c:v>
                </c:pt>
                <c:pt idx="33">
                  <c:v>  Blanca</c:v>
                </c:pt>
                <c:pt idx="34">
                  <c:v>  Beniel</c:v>
                </c:pt>
                <c:pt idx="35">
                  <c:v>  Archena</c:v>
                </c:pt>
                <c:pt idx="36">
                  <c:v>  Alhama de Murcia</c:v>
                </c:pt>
                <c:pt idx="37">
                  <c:v>  Alguazas</c:v>
                </c:pt>
                <c:pt idx="38">
                  <c:v>  Aledo</c:v>
                </c:pt>
                <c:pt idx="39">
                  <c:v>  Alcázares (Los)</c:v>
                </c:pt>
                <c:pt idx="40">
                  <c:v>  Alcantarilla</c:v>
                </c:pt>
                <c:pt idx="41">
                  <c:v>  Albudeite</c:v>
                </c:pt>
                <c:pt idx="42">
                  <c:v>  Águilas</c:v>
                </c:pt>
                <c:pt idx="43">
                  <c:v>  Abarán</c:v>
                </c:pt>
                <c:pt idx="44">
                  <c:v>  Abanilla</c:v>
                </c:pt>
              </c:strCache>
            </c:strRef>
          </c:cat>
          <c:val>
            <c:numRef>
              <c:f>'Grupos edad'!$F$138:$F$182</c:f>
              <c:numCache>
                <c:formatCode>General</c:formatCode>
                <c:ptCount val="45"/>
                <c:pt idx="0">
                  <c:v>14.372110603902026</c:v>
                </c:pt>
                <c:pt idx="1">
                  <c:v>15.026541445487954</c:v>
                </c:pt>
                <c:pt idx="2">
                  <c:v>11.503919431033568</c:v>
                </c:pt>
                <c:pt idx="3">
                  <c:v>25.775401069518718</c:v>
                </c:pt>
                <c:pt idx="4">
                  <c:v>13.564109301103521</c:v>
                </c:pt>
                <c:pt idx="5">
                  <c:v>11.472293067470439</c:v>
                </c:pt>
                <c:pt idx="6">
                  <c:v>10.346984363365626</c:v>
                </c:pt>
                <c:pt idx="7">
                  <c:v>12.315582853164013</c:v>
                </c:pt>
                <c:pt idx="8">
                  <c:v>14.42203966475812</c:v>
                </c:pt>
                <c:pt idx="9">
                  <c:v>13.859574208504657</c:v>
                </c:pt>
                <c:pt idx="10">
                  <c:v>26.25264643613059</c:v>
                </c:pt>
                <c:pt idx="11">
                  <c:v>16.060148310903589</c:v>
                </c:pt>
                <c:pt idx="12">
                  <c:v>20.251217636503462</c:v>
                </c:pt>
                <c:pt idx="13">
                  <c:v>21.468926553670677</c:v>
                </c:pt>
                <c:pt idx="14">
                  <c:v>14.324831259155816</c:v>
                </c:pt>
                <c:pt idx="15">
                  <c:v>15.172656387407176</c:v>
                </c:pt>
                <c:pt idx="16">
                  <c:v>23.380726698260617</c:v>
                </c:pt>
                <c:pt idx="17">
                  <c:v>10.625273922571218</c:v>
                </c:pt>
                <c:pt idx="18">
                  <c:v>20.563080115532376</c:v>
                </c:pt>
                <c:pt idx="19">
                  <c:v>12.553925798101812</c:v>
                </c:pt>
                <c:pt idx="20">
                  <c:v>14.071701287775833</c:v>
                </c:pt>
                <c:pt idx="21">
                  <c:v>17.276296755527689</c:v>
                </c:pt>
                <c:pt idx="22">
                  <c:v>13.473356670556226</c:v>
                </c:pt>
                <c:pt idx="23">
                  <c:v>12.608669584507464</c:v>
                </c:pt>
                <c:pt idx="24">
                  <c:v>14.444559908552423</c:v>
                </c:pt>
                <c:pt idx="25">
                  <c:v>15.456867196367774</c:v>
                </c:pt>
                <c:pt idx="26">
                  <c:v>11.552840339200202</c:v>
                </c:pt>
                <c:pt idx="27">
                  <c:v>18.085694965266889</c:v>
                </c:pt>
                <c:pt idx="28">
                  <c:v>15.449294939832109</c:v>
                </c:pt>
                <c:pt idx="29">
                  <c:v>17.280202889638598</c:v>
                </c:pt>
                <c:pt idx="30">
                  <c:v>18.244485294117649</c:v>
                </c:pt>
                <c:pt idx="31">
                  <c:v>18.279977268422051</c:v>
                </c:pt>
                <c:pt idx="32">
                  <c:v>17.049153645833329</c:v>
                </c:pt>
                <c:pt idx="33">
                  <c:v>18.498452012382689</c:v>
                </c:pt>
                <c:pt idx="34">
                  <c:v>11.818996415770609</c:v>
                </c:pt>
                <c:pt idx="35">
                  <c:v>14.448255212586423</c:v>
                </c:pt>
                <c:pt idx="36">
                  <c:v>14.200736474365026</c:v>
                </c:pt>
                <c:pt idx="37">
                  <c:v>11.944677284157548</c:v>
                </c:pt>
                <c:pt idx="38">
                  <c:v>24.601593625498335</c:v>
                </c:pt>
                <c:pt idx="39">
                  <c:v>17.17769193626269</c:v>
                </c:pt>
                <c:pt idx="40">
                  <c:v>12.603513945202113</c:v>
                </c:pt>
                <c:pt idx="41">
                  <c:v>18.599562363238515</c:v>
                </c:pt>
                <c:pt idx="42">
                  <c:v>14.749498997995994</c:v>
                </c:pt>
                <c:pt idx="43">
                  <c:v>16.470319981758589</c:v>
                </c:pt>
                <c:pt idx="44">
                  <c:v>23.85670731707317</c:v>
                </c:pt>
              </c:numCache>
            </c:numRef>
          </c:val>
        </c:ser>
        <c:gapWidth val="300"/>
        <c:overlap val="100"/>
        <c:serLines/>
        <c:axId val="82299136"/>
        <c:axId val="82313216"/>
      </c:barChart>
      <c:catAx>
        <c:axId val="82299136"/>
        <c:scaling>
          <c:orientation val="minMax"/>
        </c:scaling>
        <c:axPos val="l"/>
        <c:majorTickMark val="none"/>
        <c:tickLblPos val="nextTo"/>
        <c:crossAx val="82313216"/>
        <c:crosses val="autoZero"/>
        <c:auto val="1"/>
        <c:lblAlgn val="ctr"/>
        <c:lblOffset val="100"/>
      </c:catAx>
      <c:valAx>
        <c:axId val="82313216"/>
        <c:scaling>
          <c:orientation val="minMax"/>
          <c:max val="100"/>
        </c:scaling>
        <c:axPos val="b"/>
        <c:majorGridlines/>
        <c:numFmt formatCode="General" sourceLinked="1"/>
        <c:tickLblPos val="nextTo"/>
        <c:crossAx val="82299136"/>
        <c:crosses val="autoZero"/>
        <c:crossBetween val="between"/>
        <c:majorUnit val="10"/>
      </c:valAx>
    </c:plotArea>
    <c:legend>
      <c:legendPos val="r"/>
      <c:layout>
        <c:manualLayout>
          <c:xMode val="edge"/>
          <c:yMode val="edge"/>
          <c:x val="0.44087401103589591"/>
          <c:y val="9.9431268570421248E-3"/>
          <c:w val="0.3429360371049695"/>
          <c:h val="3.1214123444653612E-2"/>
        </c:manualLayout>
      </c:layout>
      <c:spPr>
        <a:ln>
          <a:noFill/>
        </a:ln>
      </c:spPr>
    </c:legend>
    <c:plotVisOnly val="1"/>
  </c:chart>
  <c:spPr>
    <a:ln>
      <a:noFill/>
    </a:ln>
  </c:spPr>
  <c:txPr>
    <a:bodyPr/>
    <a:lstStyle/>
    <a:p>
      <a:pPr>
        <a:defRPr sz="1100">
          <a:latin typeface="Times New Roman" pitchFamily="18" charset="0"/>
          <a:cs typeface="Times New Roman" pitchFamily="18" charset="0"/>
        </a:defRPr>
      </a:pPr>
      <a:endParaRPr lang="es-ES"/>
    </a:p>
  </c:txPr>
  <c:externalData r:id="rId1"/>
</c:chartSpace>
</file>

<file path=word/charts/chart14.xml><?xml version="1.0" encoding="utf-8"?>
<c:chartSpace xmlns:c="http://schemas.openxmlformats.org/drawingml/2006/chart" xmlns:a="http://schemas.openxmlformats.org/drawingml/2006/main" xmlns:r="http://schemas.openxmlformats.org/officeDocument/2006/relationships">
  <c:date1904 val="1"/>
  <c:lang val="es-ES"/>
  <c:chart>
    <c:autoTitleDeleted val="1"/>
    <c:plotArea>
      <c:layout/>
      <c:barChart>
        <c:barDir val="bar"/>
        <c:grouping val="clustered"/>
        <c:ser>
          <c:idx val="0"/>
          <c:order val="0"/>
          <c:tx>
            <c:strRef>
              <c:f>Hoja1!$B$1</c:f>
              <c:strCache>
                <c:ptCount val="1"/>
                <c:pt idx="0">
                  <c:v>Serie 1</c:v>
                </c:pt>
              </c:strCache>
            </c:strRef>
          </c:tx>
          <c:cat>
            <c:strRef>
              <c:f>Hoja1!$A$2:$A$46</c:f>
              <c:strCache>
                <c:ptCount val="45"/>
                <c:pt idx="0">
                  <c:v>  Mazarrón</c:v>
                </c:pt>
                <c:pt idx="1">
                  <c:v>  Alcázares (Los)</c:v>
                </c:pt>
                <c:pt idx="2">
                  <c:v>  Torres de Cotillas (Las)</c:v>
                </c:pt>
                <c:pt idx="3">
                  <c:v>  San Javier</c:v>
                </c:pt>
                <c:pt idx="4">
                  <c:v>  Aledo</c:v>
                </c:pt>
                <c:pt idx="5">
                  <c:v>  Molina de Segura</c:v>
                </c:pt>
                <c:pt idx="6">
                  <c:v>  Torre-Pacheco</c:v>
                </c:pt>
                <c:pt idx="7">
                  <c:v>  Fortuna</c:v>
                </c:pt>
                <c:pt idx="8">
                  <c:v>  Águilas</c:v>
                </c:pt>
                <c:pt idx="9">
                  <c:v>  San Pedro del Pinatar</c:v>
                </c:pt>
                <c:pt idx="10">
                  <c:v>  Alcantarilla</c:v>
                </c:pt>
                <c:pt idx="11">
                  <c:v>  Cartagena</c:v>
                </c:pt>
                <c:pt idx="12">
                  <c:v>  Campos del Río</c:v>
                </c:pt>
                <c:pt idx="13">
                  <c:v>  Unión (La)</c:v>
                </c:pt>
                <c:pt idx="14">
                  <c:v>  Alguazas</c:v>
                </c:pt>
                <c:pt idx="15">
                  <c:v>  Murcia</c:v>
                </c:pt>
                <c:pt idx="16">
                  <c:v>  Beniel</c:v>
                </c:pt>
                <c:pt idx="17">
                  <c:v>  Totana</c:v>
                </c:pt>
                <c:pt idx="18">
                  <c:v>  Cehegín</c:v>
                </c:pt>
                <c:pt idx="19">
                  <c:v>  Lorca</c:v>
                </c:pt>
                <c:pt idx="20">
                  <c:v>  Lorquí</c:v>
                </c:pt>
                <c:pt idx="21">
                  <c:v>  Alhama de Murcia</c:v>
                </c:pt>
                <c:pt idx="22">
                  <c:v>  Ulea</c:v>
                </c:pt>
                <c:pt idx="23">
                  <c:v>  Fuente-Álamo</c:v>
                </c:pt>
                <c:pt idx="24">
                  <c:v>  Ceutí</c:v>
                </c:pt>
                <c:pt idx="25">
                  <c:v>  Abarán</c:v>
                </c:pt>
                <c:pt idx="26">
                  <c:v>  Cieza</c:v>
                </c:pt>
                <c:pt idx="27">
                  <c:v>  Albudeite</c:v>
                </c:pt>
                <c:pt idx="28">
                  <c:v>  Archena</c:v>
                </c:pt>
                <c:pt idx="29">
                  <c:v>  Puerto-Lumbreras</c:v>
                </c:pt>
                <c:pt idx="30">
                  <c:v>  Blanca</c:v>
                </c:pt>
                <c:pt idx="31">
                  <c:v>  Abanilla</c:v>
                </c:pt>
                <c:pt idx="32">
                  <c:v>  Jumilla</c:v>
                </c:pt>
                <c:pt idx="33">
                  <c:v>  Mula</c:v>
                </c:pt>
                <c:pt idx="34">
                  <c:v>  Calasparra</c:v>
                </c:pt>
                <c:pt idx="35">
                  <c:v>  Bullas</c:v>
                </c:pt>
                <c:pt idx="36">
                  <c:v>  Librilla</c:v>
                </c:pt>
                <c:pt idx="37">
                  <c:v>  Yecla</c:v>
                </c:pt>
                <c:pt idx="38">
                  <c:v>  Pliego</c:v>
                </c:pt>
                <c:pt idx="39">
                  <c:v>  Caravaca de la Cruz</c:v>
                </c:pt>
                <c:pt idx="40">
                  <c:v>  Santomera</c:v>
                </c:pt>
                <c:pt idx="41">
                  <c:v>  Ojós</c:v>
                </c:pt>
                <c:pt idx="42">
                  <c:v>  Moratalla</c:v>
                </c:pt>
                <c:pt idx="43">
                  <c:v>  Villanueva del Río Segura</c:v>
                </c:pt>
                <c:pt idx="44">
                  <c:v>  Ricote</c:v>
                </c:pt>
              </c:strCache>
            </c:strRef>
          </c:cat>
          <c:val>
            <c:numRef>
              <c:f>Hoja1!$B$2:$B$46</c:f>
              <c:numCache>
                <c:formatCode>0.0</c:formatCode>
                <c:ptCount val="45"/>
                <c:pt idx="0">
                  <c:v>50.729701952723538</c:v>
                </c:pt>
                <c:pt idx="1">
                  <c:v>68.701837581505629</c:v>
                </c:pt>
                <c:pt idx="2">
                  <c:v>79.796511627906995</c:v>
                </c:pt>
                <c:pt idx="3">
                  <c:v>82.270356999598818</c:v>
                </c:pt>
                <c:pt idx="4">
                  <c:v>84.328358208950135</c:v>
                </c:pt>
                <c:pt idx="5">
                  <c:v>87.351880473982419</c:v>
                </c:pt>
                <c:pt idx="6">
                  <c:v>89.318801089918267</c:v>
                </c:pt>
                <c:pt idx="7">
                  <c:v>90.150478796163981</c:v>
                </c:pt>
                <c:pt idx="8">
                  <c:v>90.251107828655819</c:v>
                </c:pt>
                <c:pt idx="9">
                  <c:v>90.257252326217866</c:v>
                </c:pt>
                <c:pt idx="10">
                  <c:v>93.474160694079927</c:v>
                </c:pt>
                <c:pt idx="11">
                  <c:v>98.231340643792024</c:v>
                </c:pt>
                <c:pt idx="12">
                  <c:v>98.5</c:v>
                </c:pt>
                <c:pt idx="13">
                  <c:v>99.101527403414181</c:v>
                </c:pt>
                <c:pt idx="14">
                  <c:v>100</c:v>
                </c:pt>
                <c:pt idx="15">
                  <c:v>100.10837689658726</c:v>
                </c:pt>
                <c:pt idx="16">
                  <c:v>100.15174506828528</c:v>
                </c:pt>
                <c:pt idx="17">
                  <c:v>100.68027210884235</c:v>
                </c:pt>
                <c:pt idx="18">
                  <c:v>102.06043956043955</c:v>
                </c:pt>
                <c:pt idx="19">
                  <c:v>102.46741154562386</c:v>
                </c:pt>
                <c:pt idx="20">
                  <c:v>103.49650349650349</c:v>
                </c:pt>
                <c:pt idx="21">
                  <c:v>105.32423208191126</c:v>
                </c:pt>
                <c:pt idx="22">
                  <c:v>105.98290598290599</c:v>
                </c:pt>
                <c:pt idx="23">
                  <c:v>107.60118460019802</c:v>
                </c:pt>
                <c:pt idx="24">
                  <c:v>107.70491803278505</c:v>
                </c:pt>
                <c:pt idx="25">
                  <c:v>107.76605944391561</c:v>
                </c:pt>
                <c:pt idx="26">
                  <c:v>108.61738797395545</c:v>
                </c:pt>
                <c:pt idx="27">
                  <c:v>109.01639344262296</c:v>
                </c:pt>
                <c:pt idx="28">
                  <c:v>114.55133387227085</c:v>
                </c:pt>
                <c:pt idx="29">
                  <c:v>115.97414589104342</c:v>
                </c:pt>
                <c:pt idx="30">
                  <c:v>116.09403254972874</c:v>
                </c:pt>
                <c:pt idx="31">
                  <c:v>116.75900277008265</c:v>
                </c:pt>
                <c:pt idx="32">
                  <c:v>116.77096370463079</c:v>
                </c:pt>
                <c:pt idx="33">
                  <c:v>117.11409395973153</c:v>
                </c:pt>
                <c:pt idx="34">
                  <c:v>117.58737316798045</c:v>
                </c:pt>
                <c:pt idx="35">
                  <c:v>118.45672575599583</c:v>
                </c:pt>
                <c:pt idx="36">
                  <c:v>119.4225721784729</c:v>
                </c:pt>
                <c:pt idx="37">
                  <c:v>122.65765765765767</c:v>
                </c:pt>
                <c:pt idx="38">
                  <c:v>123.16384180790745</c:v>
                </c:pt>
                <c:pt idx="39">
                  <c:v>129.67313585291114</c:v>
                </c:pt>
                <c:pt idx="40">
                  <c:v>130.72360616844512</c:v>
                </c:pt>
                <c:pt idx="41">
                  <c:v>132.65306122448251</c:v>
                </c:pt>
                <c:pt idx="42">
                  <c:v>134.63414634146667</c:v>
                </c:pt>
                <c:pt idx="43">
                  <c:v>138.96103896104</c:v>
                </c:pt>
                <c:pt idx="44">
                  <c:v>141.55844155845116</c:v>
                </c:pt>
              </c:numCache>
            </c:numRef>
          </c:val>
        </c:ser>
        <c:gapWidth val="82"/>
        <c:axId val="82373632"/>
        <c:axId val="82387712"/>
      </c:barChart>
      <c:catAx>
        <c:axId val="82373632"/>
        <c:scaling>
          <c:orientation val="minMax"/>
        </c:scaling>
        <c:axPos val="l"/>
        <c:tickLblPos val="nextTo"/>
        <c:crossAx val="82387712"/>
        <c:crosses val="autoZero"/>
        <c:auto val="1"/>
        <c:lblAlgn val="ctr"/>
        <c:lblOffset val="100"/>
      </c:catAx>
      <c:valAx>
        <c:axId val="82387712"/>
        <c:scaling>
          <c:orientation val="minMax"/>
          <c:max val="150"/>
          <c:min val="0"/>
        </c:scaling>
        <c:axPos val="b"/>
        <c:majorGridlines/>
        <c:numFmt formatCode="0.0" sourceLinked="1"/>
        <c:tickLblPos val="nextTo"/>
        <c:crossAx val="82373632"/>
        <c:crosses val="autoZero"/>
        <c:crossBetween val="between"/>
      </c:valAx>
    </c:plotArea>
    <c:plotVisOnly val="1"/>
  </c:chart>
  <c:spPr>
    <a:ln>
      <a:noFill/>
    </a:ln>
  </c:spPr>
  <c:txPr>
    <a:bodyPr/>
    <a:lstStyle/>
    <a:p>
      <a:pPr>
        <a:defRPr sz="1100">
          <a:latin typeface="Times New Roman" pitchFamily="18" charset="0"/>
          <a:cs typeface="Times New Roman" pitchFamily="18" charset="0"/>
        </a:defRPr>
      </a:pPr>
      <a:endParaRPr lang="es-ES"/>
    </a:p>
  </c:txPr>
  <c:externalData r:id="rId1"/>
</c:chartSpace>
</file>

<file path=word/charts/chart15.xml><?xml version="1.0" encoding="utf-8"?>
<c:chartSpace xmlns:c="http://schemas.openxmlformats.org/drawingml/2006/chart" xmlns:a="http://schemas.openxmlformats.org/drawingml/2006/main" xmlns:r="http://schemas.openxmlformats.org/officeDocument/2006/relationships">
  <c:date1904 val="1"/>
  <c:lang val="es-ES"/>
  <c:chart>
    <c:autoTitleDeleted val="1"/>
    <c:plotArea>
      <c:layout/>
      <c:barChart>
        <c:barDir val="bar"/>
        <c:grouping val="clustered"/>
        <c:ser>
          <c:idx val="0"/>
          <c:order val="0"/>
          <c:tx>
            <c:strRef>
              <c:f>Hoja1!$B$1</c:f>
              <c:strCache>
                <c:ptCount val="1"/>
                <c:pt idx="0">
                  <c:v>Serie 1</c:v>
                </c:pt>
              </c:strCache>
            </c:strRef>
          </c:tx>
          <c:dLbls>
            <c:showVal val="1"/>
          </c:dLbls>
          <c:cat>
            <c:strRef>
              <c:f>Hoja1!$A$2:$A$46</c:f>
              <c:strCache>
                <c:ptCount val="45"/>
                <c:pt idx="0">
                  <c:v>Ricote</c:v>
                </c:pt>
                <c:pt idx="1">
                  <c:v>Ulea</c:v>
                </c:pt>
                <c:pt idx="2">
                  <c:v>Aledo</c:v>
                </c:pt>
                <c:pt idx="3">
                  <c:v>Abanilla</c:v>
                </c:pt>
                <c:pt idx="4">
                  <c:v>Moratalla</c:v>
                </c:pt>
                <c:pt idx="5">
                  <c:v>Pliego</c:v>
                </c:pt>
                <c:pt idx="6">
                  <c:v>Mazarrón</c:v>
                </c:pt>
                <c:pt idx="7">
                  <c:v>Ojós</c:v>
                </c:pt>
                <c:pt idx="8">
                  <c:v>Blanca</c:v>
                </c:pt>
                <c:pt idx="9">
                  <c:v>Albudeite</c:v>
                </c:pt>
                <c:pt idx="10">
                  <c:v>Calasparra</c:v>
                </c:pt>
                <c:pt idx="11">
                  <c:v>Campos del Río</c:v>
                </c:pt>
                <c:pt idx="12">
                  <c:v>Cehegín</c:v>
                </c:pt>
                <c:pt idx="13">
                  <c:v>Alcázares (Los)</c:v>
                </c:pt>
                <c:pt idx="14">
                  <c:v>Caravaca de la Cruz</c:v>
                </c:pt>
                <c:pt idx="15">
                  <c:v>Librilla</c:v>
                </c:pt>
                <c:pt idx="16">
                  <c:v>Bullas</c:v>
                </c:pt>
                <c:pt idx="17">
                  <c:v>Abarán</c:v>
                </c:pt>
                <c:pt idx="18">
                  <c:v>Puerto Lumbreras</c:v>
                </c:pt>
                <c:pt idx="19">
                  <c:v>Cartagena</c:v>
                </c:pt>
                <c:pt idx="20">
                  <c:v>Cieza</c:v>
                </c:pt>
                <c:pt idx="21">
                  <c:v>Mula</c:v>
                </c:pt>
                <c:pt idx="22">
                  <c:v>Villanueva del Río Segura</c:v>
                </c:pt>
                <c:pt idx="23">
                  <c:v>Águilas</c:v>
                </c:pt>
                <c:pt idx="24">
                  <c:v>San Pedro del Pinatar</c:v>
                </c:pt>
                <c:pt idx="25">
                  <c:v>Yecla</c:v>
                </c:pt>
                <c:pt idx="26">
                  <c:v>Fortuna</c:v>
                </c:pt>
                <c:pt idx="27">
                  <c:v>Archena</c:v>
                </c:pt>
                <c:pt idx="28">
                  <c:v>Murcia</c:v>
                </c:pt>
                <c:pt idx="29">
                  <c:v>Alhama de Murcia</c:v>
                </c:pt>
                <c:pt idx="30">
                  <c:v>Lorca</c:v>
                </c:pt>
                <c:pt idx="31">
                  <c:v>San Javier</c:v>
                </c:pt>
                <c:pt idx="32">
                  <c:v>Totana</c:v>
                </c:pt>
                <c:pt idx="33">
                  <c:v>Jumilla</c:v>
                </c:pt>
                <c:pt idx="34">
                  <c:v>Fuente Álamo</c:v>
                </c:pt>
                <c:pt idx="35">
                  <c:v>Alcantarilla</c:v>
                </c:pt>
                <c:pt idx="36">
                  <c:v>Santomera</c:v>
                </c:pt>
                <c:pt idx="37">
                  <c:v>Lorquí</c:v>
                </c:pt>
                <c:pt idx="38">
                  <c:v>Alguazas</c:v>
                </c:pt>
                <c:pt idx="39">
                  <c:v>Beniel</c:v>
                </c:pt>
                <c:pt idx="40">
                  <c:v>Unión (La)</c:v>
                </c:pt>
                <c:pt idx="41">
                  <c:v>Ceutí</c:v>
                </c:pt>
                <c:pt idx="42">
                  <c:v>Torres de Cotillas (Las)</c:v>
                </c:pt>
                <c:pt idx="43">
                  <c:v>Torre-Pacheco</c:v>
                </c:pt>
                <c:pt idx="44">
                  <c:v>Molina de Segura</c:v>
                </c:pt>
              </c:strCache>
            </c:strRef>
          </c:cat>
          <c:val>
            <c:numRef>
              <c:f>Hoja1!$B$2:$B$46</c:f>
              <c:numCache>
                <c:formatCode>General</c:formatCode>
                <c:ptCount val="45"/>
                <c:pt idx="0">
                  <c:v>42.1</c:v>
                </c:pt>
                <c:pt idx="1">
                  <c:v>42</c:v>
                </c:pt>
                <c:pt idx="2">
                  <c:v>39.300000000000004</c:v>
                </c:pt>
                <c:pt idx="3">
                  <c:v>37.700000000000003</c:v>
                </c:pt>
                <c:pt idx="4">
                  <c:v>36.300000000000004</c:v>
                </c:pt>
                <c:pt idx="5">
                  <c:v>32</c:v>
                </c:pt>
                <c:pt idx="6">
                  <c:v>31.5</c:v>
                </c:pt>
                <c:pt idx="7">
                  <c:v>30.1</c:v>
                </c:pt>
                <c:pt idx="8">
                  <c:v>28.2</c:v>
                </c:pt>
                <c:pt idx="9">
                  <c:v>27.8</c:v>
                </c:pt>
                <c:pt idx="10">
                  <c:v>27.3</c:v>
                </c:pt>
                <c:pt idx="11">
                  <c:v>27</c:v>
                </c:pt>
                <c:pt idx="12">
                  <c:v>27</c:v>
                </c:pt>
                <c:pt idx="13">
                  <c:v>26.2</c:v>
                </c:pt>
                <c:pt idx="14">
                  <c:v>26.2</c:v>
                </c:pt>
                <c:pt idx="15">
                  <c:v>26.1</c:v>
                </c:pt>
                <c:pt idx="16">
                  <c:v>25.5</c:v>
                </c:pt>
                <c:pt idx="17">
                  <c:v>24.1</c:v>
                </c:pt>
                <c:pt idx="18">
                  <c:v>24.1</c:v>
                </c:pt>
                <c:pt idx="19">
                  <c:v>23.1</c:v>
                </c:pt>
                <c:pt idx="20">
                  <c:v>23</c:v>
                </c:pt>
                <c:pt idx="21">
                  <c:v>22.4</c:v>
                </c:pt>
                <c:pt idx="22">
                  <c:v>22.2</c:v>
                </c:pt>
                <c:pt idx="23">
                  <c:v>21.7</c:v>
                </c:pt>
                <c:pt idx="24">
                  <c:v>21.6</c:v>
                </c:pt>
                <c:pt idx="25">
                  <c:v>21.5</c:v>
                </c:pt>
                <c:pt idx="26">
                  <c:v>21.3</c:v>
                </c:pt>
                <c:pt idx="27">
                  <c:v>21.1</c:v>
                </c:pt>
                <c:pt idx="28">
                  <c:v>21</c:v>
                </c:pt>
                <c:pt idx="29">
                  <c:v>20.9</c:v>
                </c:pt>
                <c:pt idx="30">
                  <c:v>20.6</c:v>
                </c:pt>
                <c:pt idx="31">
                  <c:v>20.5</c:v>
                </c:pt>
                <c:pt idx="32">
                  <c:v>19.899999999999999</c:v>
                </c:pt>
                <c:pt idx="33">
                  <c:v>19.5</c:v>
                </c:pt>
                <c:pt idx="34">
                  <c:v>18.399999999999999</c:v>
                </c:pt>
                <c:pt idx="35">
                  <c:v>18.2</c:v>
                </c:pt>
                <c:pt idx="36">
                  <c:v>18.100000000000001</c:v>
                </c:pt>
                <c:pt idx="37">
                  <c:v>17.8</c:v>
                </c:pt>
                <c:pt idx="38">
                  <c:v>17.5</c:v>
                </c:pt>
                <c:pt idx="39">
                  <c:v>17</c:v>
                </c:pt>
                <c:pt idx="40">
                  <c:v>16.899999999999999</c:v>
                </c:pt>
                <c:pt idx="41">
                  <c:v>16.7</c:v>
                </c:pt>
                <c:pt idx="42">
                  <c:v>16.5</c:v>
                </c:pt>
                <c:pt idx="43">
                  <c:v>15.2</c:v>
                </c:pt>
                <c:pt idx="44">
                  <c:v>15.1</c:v>
                </c:pt>
              </c:numCache>
            </c:numRef>
          </c:val>
        </c:ser>
        <c:dLbls>
          <c:showVal val="1"/>
        </c:dLbls>
        <c:gapWidth val="75"/>
        <c:axId val="82403712"/>
        <c:axId val="82405248"/>
      </c:barChart>
      <c:catAx>
        <c:axId val="82403712"/>
        <c:scaling>
          <c:orientation val="minMax"/>
        </c:scaling>
        <c:axPos val="l"/>
        <c:majorTickMark val="none"/>
        <c:tickLblPos val="nextTo"/>
        <c:crossAx val="82405248"/>
        <c:crosses val="autoZero"/>
        <c:auto val="1"/>
        <c:lblAlgn val="ctr"/>
        <c:lblOffset val="100"/>
      </c:catAx>
      <c:valAx>
        <c:axId val="82405248"/>
        <c:scaling>
          <c:orientation val="minMax"/>
        </c:scaling>
        <c:axPos val="b"/>
        <c:numFmt formatCode="General" sourceLinked="1"/>
        <c:majorTickMark val="none"/>
        <c:tickLblPos val="nextTo"/>
        <c:crossAx val="82403712"/>
        <c:crosses val="autoZero"/>
        <c:crossBetween val="between"/>
      </c:valAx>
    </c:plotArea>
    <c:plotVisOnly val="1"/>
  </c:chart>
  <c:spPr>
    <a:ln>
      <a:noFill/>
    </a:ln>
  </c:spPr>
  <c:txPr>
    <a:bodyPr/>
    <a:lstStyle/>
    <a:p>
      <a:pPr>
        <a:defRPr sz="1100">
          <a:latin typeface="Times New Roman" pitchFamily="18" charset="0"/>
          <a:cs typeface="Times New Roman" pitchFamily="18" charset="0"/>
        </a:defRPr>
      </a:pPr>
      <a:endParaRPr lang="es-ES"/>
    </a:p>
  </c:txPr>
  <c:externalData r:id="rId1"/>
</c:chartSpace>
</file>

<file path=word/charts/chart16.xml><?xml version="1.0" encoding="utf-8"?>
<c:chartSpace xmlns:c="http://schemas.openxmlformats.org/drawingml/2006/chart" xmlns:a="http://schemas.openxmlformats.org/drawingml/2006/main" xmlns:r="http://schemas.openxmlformats.org/officeDocument/2006/relationships">
  <c:date1904 val="1"/>
  <c:lang val="es-ES"/>
  <c:style val="4"/>
  <c:clrMapOvr bg1="lt1" tx1="dk1" bg2="lt2" tx2="dk2" accent1="accent1" accent2="accent2" accent3="accent3" accent4="accent4" accent5="accent5" accent6="accent6" hlink="hlink" folHlink="folHlink"/>
  <c:chart>
    <c:autoTitleDeleted val="1"/>
    <c:plotArea>
      <c:layout>
        <c:manualLayout>
          <c:layoutTarget val="inner"/>
          <c:xMode val="edge"/>
          <c:yMode val="edge"/>
          <c:x val="8.9771411593230224E-2"/>
          <c:y val="2.6344758996435371E-2"/>
          <c:w val="0.88266545949503883"/>
          <c:h val="0.92037055072803531"/>
        </c:manualLayout>
      </c:layout>
      <c:scatterChart>
        <c:scatterStyle val="lineMarker"/>
        <c:ser>
          <c:idx val="0"/>
          <c:order val="0"/>
          <c:tx>
            <c:strRef>
              <c:f>Hoja3!$C$2</c:f>
              <c:strCache>
                <c:ptCount val="1"/>
                <c:pt idx="0">
                  <c:v>Envejecimiento</c:v>
                </c:pt>
              </c:strCache>
            </c:strRef>
          </c:tx>
          <c:spPr>
            <a:ln w="28575">
              <a:noFill/>
            </a:ln>
          </c:spPr>
          <c:dLbls>
            <c:dLbl>
              <c:idx val="0"/>
              <c:tx>
                <c:rich>
                  <a:bodyPr/>
                  <a:lstStyle/>
                  <a:p>
                    <a:r>
                      <a:rPr lang="en-US"/>
                      <a:t>Abanilla</a:t>
                    </a:r>
                  </a:p>
                </c:rich>
              </c:tx>
            </c:dLbl>
            <c:dLbl>
              <c:idx val="1"/>
              <c:layout>
                <c:manualLayout>
                  <c:x val="-1.6694681699722001E-3"/>
                  <c:y val="-7.448838982208703E-4"/>
                </c:manualLayout>
              </c:layout>
              <c:tx>
                <c:rich>
                  <a:bodyPr/>
                  <a:lstStyle/>
                  <a:p>
                    <a:r>
                      <a:rPr lang="en-US"/>
                      <a:t>Abarán</a:t>
                    </a:r>
                  </a:p>
                </c:rich>
              </c:tx>
              <c:dLblPos val="r"/>
            </c:dLbl>
            <c:dLbl>
              <c:idx val="2"/>
              <c:layout>
                <c:manualLayout>
                  <c:x val="-4.8396854204476912E-3"/>
                  <c:y val="-1.5378700499807817E-3"/>
                </c:manualLayout>
              </c:layout>
              <c:tx>
                <c:rich>
                  <a:bodyPr/>
                  <a:lstStyle/>
                  <a:p>
                    <a:r>
                      <a:rPr lang="en-US"/>
                      <a:t>Águilas</a:t>
                    </a:r>
                  </a:p>
                </c:rich>
              </c:tx>
            </c:dLbl>
            <c:dLbl>
              <c:idx val="3"/>
              <c:layout>
                <c:manualLayout>
                  <c:x val="-7.5490766867174781E-3"/>
                  <c:y val="-9.9704292046581787E-3"/>
                </c:manualLayout>
              </c:layout>
              <c:tx>
                <c:rich>
                  <a:bodyPr/>
                  <a:lstStyle/>
                  <a:p>
                    <a:r>
                      <a:rPr lang="en-US"/>
                      <a:t>Albudeite</a:t>
                    </a:r>
                  </a:p>
                </c:rich>
              </c:tx>
              <c:dLblPos val="r"/>
            </c:dLbl>
            <c:dLbl>
              <c:idx val="4"/>
              <c:layout>
                <c:manualLayout>
                  <c:x val="-1.5015028747540861E-2"/>
                  <c:y val="8.5073275875117687E-3"/>
                </c:manualLayout>
              </c:layout>
              <c:tx>
                <c:rich>
                  <a:bodyPr/>
                  <a:lstStyle/>
                  <a:p>
                    <a:r>
                      <a:rPr lang="en-US"/>
                      <a:t>Alcantarilla</a:t>
                    </a:r>
                  </a:p>
                </c:rich>
              </c:tx>
              <c:dLblPos val="r"/>
            </c:dLbl>
            <c:dLbl>
              <c:idx val="5"/>
              <c:layout>
                <c:manualLayout>
                  <c:x val="-1.001444340328111E-2"/>
                  <c:y val="3.091511603727132E-3"/>
                </c:manualLayout>
              </c:layout>
              <c:tx>
                <c:rich>
                  <a:bodyPr/>
                  <a:lstStyle/>
                  <a:p>
                    <a:r>
                      <a:rPr lang="en-US"/>
                      <a:t>Los Alcázares</a:t>
                    </a:r>
                  </a:p>
                </c:rich>
              </c:tx>
            </c:dLbl>
            <c:dLbl>
              <c:idx val="6"/>
              <c:layout>
                <c:manualLayout>
                  <c:x val="0"/>
                  <c:y val="-5.3856510867474512E-3"/>
                </c:manualLayout>
              </c:layout>
              <c:tx>
                <c:rich>
                  <a:bodyPr/>
                  <a:lstStyle/>
                  <a:p>
                    <a:r>
                      <a:rPr lang="en-US"/>
                      <a:t>Aledo</a:t>
                    </a:r>
                  </a:p>
                </c:rich>
              </c:tx>
              <c:dLblPos val="r"/>
            </c:dLbl>
            <c:dLbl>
              <c:idx val="7"/>
              <c:layout>
                <c:manualLayout>
                  <c:x val="-3.7214513340097448E-2"/>
                  <c:y val="-1.3094902929521196E-2"/>
                </c:manualLayout>
              </c:layout>
              <c:tx>
                <c:rich>
                  <a:bodyPr/>
                  <a:lstStyle/>
                  <a:p>
                    <a:r>
                      <a:rPr lang="en-US"/>
                      <a:t>Alguazas</a:t>
                    </a:r>
                  </a:p>
                </c:rich>
              </c:tx>
            </c:dLbl>
            <c:dLbl>
              <c:idx val="8"/>
              <c:layout>
                <c:manualLayout>
                  <c:x val="-8.9286479843377203E-3"/>
                  <c:y val="3.8486711652393007E-3"/>
                </c:manualLayout>
              </c:layout>
              <c:tx>
                <c:rich>
                  <a:bodyPr/>
                  <a:lstStyle/>
                  <a:p>
                    <a:r>
                      <a:rPr lang="en-US"/>
                      <a:t>Alhama de Murcia</a:t>
                    </a:r>
                  </a:p>
                </c:rich>
              </c:tx>
            </c:dLbl>
            <c:dLbl>
              <c:idx val="9"/>
              <c:layout>
                <c:manualLayout>
                  <c:x val="-4.8396854204476912E-3"/>
                  <c:y val="-4.6136101499423404E-3"/>
                </c:manualLayout>
              </c:layout>
              <c:tx>
                <c:rich>
                  <a:bodyPr/>
                  <a:lstStyle/>
                  <a:p>
                    <a:r>
                      <a:rPr lang="en-US"/>
                      <a:t>Archena</a:t>
                    </a:r>
                  </a:p>
                </c:rich>
              </c:tx>
            </c:dLbl>
            <c:dLbl>
              <c:idx val="10"/>
              <c:layout>
                <c:manualLayout>
                  <c:x val="-4.0882004087057335E-3"/>
                  <c:y val="-2.299176270786121E-3"/>
                </c:manualLayout>
              </c:layout>
              <c:tx>
                <c:rich>
                  <a:bodyPr/>
                  <a:lstStyle/>
                  <a:p>
                    <a:r>
                      <a:rPr lang="en-US"/>
                      <a:t>Beniel</a:t>
                    </a:r>
                  </a:p>
                </c:rich>
              </c:tx>
            </c:dLbl>
            <c:dLbl>
              <c:idx val="11"/>
              <c:layout>
                <c:manualLayout>
                  <c:x val="-1.327293253497578E-3"/>
                  <c:y val="-7.1032643410923451E-4"/>
                </c:manualLayout>
              </c:layout>
              <c:tx>
                <c:rich>
                  <a:bodyPr/>
                  <a:lstStyle/>
                  <a:p>
                    <a:r>
                      <a:rPr lang="en-US"/>
                      <a:t>Blanca</a:t>
                    </a:r>
                  </a:p>
                </c:rich>
              </c:tx>
              <c:dLblPos val="r"/>
            </c:dLbl>
            <c:dLbl>
              <c:idx val="12"/>
              <c:layout>
                <c:manualLayout>
                  <c:x val="-3.603622547479896E-3"/>
                  <c:y val="1.5457558018635697E-3"/>
                </c:manualLayout>
              </c:layout>
              <c:tx>
                <c:rich>
                  <a:bodyPr/>
                  <a:lstStyle/>
                  <a:p>
                    <a:r>
                      <a:rPr lang="en-US"/>
                      <a:t>Bullas</a:t>
                    </a:r>
                  </a:p>
                </c:rich>
              </c:tx>
              <c:dLblPos val="r"/>
            </c:dLbl>
            <c:dLbl>
              <c:idx val="13"/>
              <c:layout>
                <c:manualLayout>
                  <c:x val="-7.333411311064164E-4"/>
                  <c:y val="1.1015031501468733E-5"/>
                </c:manualLayout>
              </c:layout>
              <c:tx>
                <c:rich>
                  <a:bodyPr/>
                  <a:lstStyle/>
                  <a:p>
                    <a:r>
                      <a:rPr lang="en-US"/>
                      <a:t>Calasparra</a:t>
                    </a:r>
                  </a:p>
                </c:rich>
              </c:tx>
              <c:dLblPos val="r"/>
            </c:dLbl>
            <c:dLbl>
              <c:idx val="14"/>
              <c:layout>
                <c:manualLayout>
                  <c:x val="-2.0905916705965425E-2"/>
                  <c:y val="1.8506994584154491E-2"/>
                </c:manualLayout>
              </c:layout>
              <c:tx>
                <c:rich>
                  <a:bodyPr/>
                  <a:lstStyle/>
                  <a:p>
                    <a:r>
                      <a:rPr lang="en-US"/>
                      <a:t>Campos del Río</a:t>
                    </a:r>
                  </a:p>
                </c:rich>
              </c:tx>
              <c:dLblPos val="r"/>
            </c:dLbl>
            <c:dLbl>
              <c:idx val="15"/>
              <c:layout>
                <c:manualLayout>
                  <c:x val="-8.1779251277800686E-3"/>
                  <c:y val="-3.8486711652393007E-3"/>
                </c:manualLayout>
              </c:layout>
              <c:tx>
                <c:rich>
                  <a:bodyPr/>
                  <a:lstStyle/>
                  <a:p>
                    <a:r>
                      <a:rPr lang="en-US"/>
                      <a:t>Caravaca de la Cruz</a:t>
                    </a:r>
                  </a:p>
                </c:rich>
              </c:tx>
            </c:dLbl>
            <c:dLbl>
              <c:idx val="16"/>
              <c:layout>
                <c:manualLayout>
                  <c:x val="-2.4200332490199291E-3"/>
                  <c:y val="0"/>
                </c:manualLayout>
              </c:layout>
              <c:tx>
                <c:rich>
                  <a:bodyPr/>
                  <a:lstStyle/>
                  <a:p>
                    <a:r>
                      <a:rPr lang="en-US"/>
                      <a:t>Cartagena</a:t>
                    </a:r>
                  </a:p>
                </c:rich>
              </c:tx>
            </c:dLbl>
            <c:dLbl>
              <c:idx val="17"/>
              <c:layout>
                <c:manualLayout>
                  <c:x val="-6.4916567824666628E-3"/>
                  <c:y val="2.1796583385554352E-5"/>
                </c:manualLayout>
              </c:layout>
              <c:tx>
                <c:rich>
                  <a:bodyPr/>
                  <a:lstStyle/>
                  <a:p>
                    <a:r>
                      <a:rPr lang="en-US"/>
                      <a:t>Cehegín</a:t>
                    </a:r>
                  </a:p>
                </c:rich>
              </c:tx>
              <c:dLblPos val="r"/>
            </c:dLbl>
            <c:dLbl>
              <c:idx val="18"/>
              <c:layout>
                <c:manualLayout>
                  <c:x val="-1.2482387070037303E-2"/>
                  <c:y val="-3.9011040574945598E-3"/>
                </c:manualLayout>
              </c:layout>
              <c:tx>
                <c:rich>
                  <a:bodyPr/>
                  <a:lstStyle/>
                  <a:p>
                    <a:r>
                      <a:rPr lang="en-US"/>
                      <a:t>Ceutí</a:t>
                    </a:r>
                  </a:p>
                </c:rich>
              </c:tx>
              <c:dLblPos val="r"/>
            </c:dLbl>
            <c:dLbl>
              <c:idx val="19"/>
              <c:layout>
                <c:manualLayout>
                  <c:x val="-1.5016362519113422E-3"/>
                  <c:y val="0"/>
                </c:manualLayout>
              </c:layout>
              <c:tx>
                <c:rich>
                  <a:bodyPr/>
                  <a:lstStyle/>
                  <a:p>
                    <a:r>
                      <a:rPr lang="en-US"/>
                      <a:t>Cieza</a:t>
                    </a:r>
                  </a:p>
                </c:rich>
              </c:tx>
            </c:dLbl>
            <c:dLbl>
              <c:idx val="20"/>
              <c:layout>
                <c:manualLayout>
                  <c:x val="-3.7454401684363078E-2"/>
                  <c:y val="1.3232826865499944E-2"/>
                </c:manualLayout>
              </c:layout>
              <c:tx>
                <c:rich>
                  <a:bodyPr/>
                  <a:lstStyle/>
                  <a:p>
                    <a:r>
                      <a:rPr lang="en-US"/>
                      <a:t>Fortuna</a:t>
                    </a:r>
                  </a:p>
                </c:rich>
              </c:tx>
            </c:dLbl>
            <c:dLbl>
              <c:idx val="21"/>
              <c:layout>
                <c:manualLayout>
                  <c:x val="-1.1347728539377277E-2"/>
                  <c:y val="-7.7199865587735794E-3"/>
                </c:manualLayout>
              </c:layout>
              <c:tx>
                <c:rich>
                  <a:bodyPr/>
                  <a:lstStyle/>
                  <a:p>
                    <a:r>
                      <a:rPr lang="en-US"/>
                      <a:t>Fuente Álamo</a:t>
                    </a:r>
                  </a:p>
                </c:rich>
              </c:tx>
            </c:dLbl>
            <c:dLbl>
              <c:idx val="22"/>
              <c:layout>
                <c:manualLayout>
                  <c:x val="-3.3381478010937036E-3"/>
                  <c:y val="1.5457558018635697E-3"/>
                </c:manualLayout>
              </c:layout>
              <c:tx>
                <c:rich>
                  <a:bodyPr/>
                  <a:lstStyle/>
                  <a:p>
                    <a:r>
                      <a:rPr lang="en-US"/>
                      <a:t>Jumilla</a:t>
                    </a:r>
                  </a:p>
                </c:rich>
              </c:tx>
            </c:dLbl>
            <c:dLbl>
              <c:idx val="23"/>
              <c:layout>
                <c:manualLayout>
                  <c:x val="-1.1013259280773721E-2"/>
                  <c:y val="-1.0846702346037412E-2"/>
                </c:manualLayout>
              </c:layout>
              <c:tx>
                <c:rich>
                  <a:bodyPr/>
                  <a:lstStyle/>
                  <a:p>
                    <a:r>
                      <a:rPr lang="en-US"/>
                      <a:t>Librilla</a:t>
                    </a:r>
                  </a:p>
                </c:rich>
              </c:tx>
              <c:dLblPos val="r"/>
            </c:dLbl>
            <c:dLbl>
              <c:idx val="24"/>
              <c:tx>
                <c:rich>
                  <a:bodyPr/>
                  <a:lstStyle/>
                  <a:p>
                    <a:r>
                      <a:rPr lang="en-US"/>
                      <a:t>Lorca</a:t>
                    </a:r>
                  </a:p>
                </c:rich>
              </c:tx>
            </c:dLbl>
            <c:dLbl>
              <c:idx val="25"/>
              <c:layout>
                <c:manualLayout>
                  <c:x val="-2.0606008640934391E-2"/>
                  <c:y val="-1.3156175547260805E-2"/>
                </c:manualLayout>
              </c:layout>
              <c:tx>
                <c:rich>
                  <a:bodyPr/>
                  <a:lstStyle/>
                  <a:p>
                    <a:r>
                      <a:rPr lang="en-US"/>
                      <a:t>Lorquí</a:t>
                    </a:r>
                  </a:p>
                </c:rich>
              </c:tx>
            </c:dLbl>
            <c:dLbl>
              <c:idx val="26"/>
              <c:tx>
                <c:rich>
                  <a:bodyPr/>
                  <a:lstStyle/>
                  <a:p>
                    <a:r>
                      <a:rPr lang="en-US"/>
                      <a:t>Mazarrón</a:t>
                    </a:r>
                  </a:p>
                </c:rich>
              </c:tx>
            </c:dLbl>
            <c:dLbl>
              <c:idx val="27"/>
              <c:layout>
                <c:manualLayout>
                  <c:x val="-6.3699024917711353E-3"/>
                  <c:y val="-1.6753096174396858E-3"/>
                </c:manualLayout>
              </c:layout>
              <c:tx>
                <c:rich>
                  <a:bodyPr/>
                  <a:lstStyle/>
                  <a:p>
                    <a:r>
                      <a:rPr lang="en-US"/>
                      <a:t>Molina de Segura</a:t>
                    </a:r>
                  </a:p>
                </c:rich>
              </c:tx>
              <c:dLblPos val="r"/>
            </c:dLbl>
            <c:dLbl>
              <c:idx val="28"/>
              <c:tx>
                <c:rich>
                  <a:bodyPr/>
                  <a:lstStyle/>
                  <a:p>
                    <a:r>
                      <a:rPr lang="en-US"/>
                      <a:t>Moratalla</a:t>
                    </a:r>
                  </a:p>
                </c:rich>
              </c:tx>
            </c:dLbl>
            <c:dLbl>
              <c:idx val="29"/>
              <c:tx>
                <c:rich>
                  <a:bodyPr/>
                  <a:lstStyle/>
                  <a:p>
                    <a:r>
                      <a:rPr lang="en-US"/>
                      <a:t>Mula</a:t>
                    </a:r>
                  </a:p>
                </c:rich>
              </c:tx>
            </c:dLbl>
            <c:dLbl>
              <c:idx val="30"/>
              <c:layout>
                <c:manualLayout>
                  <c:x val="-4.0916301070351834E-3"/>
                  <c:y val="2.5792623672906017E-5"/>
                </c:manualLayout>
              </c:layout>
              <c:tx>
                <c:rich>
                  <a:bodyPr/>
                  <a:lstStyle/>
                  <a:p>
                    <a:r>
                      <a:rPr lang="en-US"/>
                      <a:t>Murcia</a:t>
                    </a:r>
                  </a:p>
                </c:rich>
              </c:tx>
              <c:dLblPos val="r"/>
            </c:dLbl>
            <c:dLbl>
              <c:idx val="31"/>
              <c:tx>
                <c:rich>
                  <a:bodyPr/>
                  <a:lstStyle/>
                  <a:p>
                    <a:r>
                      <a:rPr lang="en-US"/>
                      <a:t>Pliego</a:t>
                    </a:r>
                  </a:p>
                </c:rich>
              </c:tx>
            </c:dLbl>
            <c:dLbl>
              <c:idx val="32"/>
              <c:layout>
                <c:manualLayout>
                  <c:x val="0"/>
                  <c:y val="-1.5457558018635697E-3"/>
                </c:manualLayout>
              </c:layout>
              <c:tx>
                <c:rich>
                  <a:bodyPr/>
                  <a:lstStyle/>
                  <a:p>
                    <a:r>
                      <a:rPr lang="en-US"/>
                      <a:t>Puerto Lumbreras</a:t>
                    </a:r>
                  </a:p>
                </c:rich>
              </c:tx>
            </c:dLbl>
            <c:dLbl>
              <c:idx val="33"/>
              <c:tx>
                <c:rich>
                  <a:bodyPr/>
                  <a:lstStyle/>
                  <a:p>
                    <a:r>
                      <a:rPr lang="en-US"/>
                      <a:t>Ricote</a:t>
                    </a:r>
                  </a:p>
                </c:rich>
              </c:tx>
            </c:dLbl>
            <c:dLbl>
              <c:idx val="34"/>
              <c:tx>
                <c:rich>
                  <a:bodyPr/>
                  <a:lstStyle/>
                  <a:p>
                    <a:r>
                      <a:rPr lang="en-US"/>
                      <a:t>San Javier</a:t>
                    </a:r>
                  </a:p>
                </c:rich>
              </c:tx>
            </c:dLbl>
            <c:dLbl>
              <c:idx val="35"/>
              <c:layout>
                <c:manualLayout>
                  <c:x val="-1.4270593671253886E-2"/>
                  <c:y val="2.3255743551087258E-3"/>
                </c:manualLayout>
              </c:layout>
              <c:tx>
                <c:rich>
                  <a:bodyPr/>
                  <a:lstStyle/>
                  <a:p>
                    <a:r>
                      <a:rPr lang="en-US"/>
                      <a:t>San Pedro del Pinatar</a:t>
                    </a:r>
                  </a:p>
                </c:rich>
              </c:tx>
              <c:dLblPos val="r"/>
            </c:dLbl>
            <c:dLbl>
              <c:idx val="36"/>
              <c:layout>
                <c:manualLayout>
                  <c:x val="-1.0880527411387642E-2"/>
                  <c:y val="2.2883990712234919E-3"/>
                </c:manualLayout>
              </c:layout>
              <c:tx>
                <c:rich>
                  <a:bodyPr/>
                  <a:lstStyle/>
                  <a:p>
                    <a:r>
                      <a:rPr lang="en-US"/>
                      <a:t>Santomera</a:t>
                    </a:r>
                  </a:p>
                </c:rich>
              </c:tx>
              <c:dLblPos val="r"/>
            </c:dLbl>
            <c:dLbl>
              <c:idx val="37"/>
              <c:layout>
                <c:manualLayout>
                  <c:x val="-9.6445022412125891E-3"/>
                  <c:y val="0"/>
                </c:manualLayout>
              </c:layout>
              <c:tx>
                <c:rich>
                  <a:bodyPr/>
                  <a:lstStyle/>
                  <a:p>
                    <a:r>
                      <a:rPr lang="en-US"/>
                      <a:t>Torre-Pacheco</a:t>
                    </a:r>
                  </a:p>
                </c:rich>
              </c:tx>
              <c:dLblPos val="r"/>
            </c:dLbl>
            <c:dLbl>
              <c:idx val="38"/>
              <c:layout>
                <c:manualLayout>
                  <c:x val="-3.0615964293029652E-2"/>
                  <c:y val="1.6247173255592249E-2"/>
                </c:manualLayout>
              </c:layout>
              <c:tx>
                <c:rich>
                  <a:bodyPr/>
                  <a:lstStyle/>
                  <a:p>
                    <a:r>
                      <a:rPr lang="en-US"/>
                      <a:t>Las Torres de Cotillas</a:t>
                    </a:r>
                  </a:p>
                </c:rich>
              </c:tx>
            </c:dLbl>
            <c:dLbl>
              <c:idx val="39"/>
              <c:layout>
                <c:manualLayout>
                  <c:x val="-1.1013390703915505E-2"/>
                  <c:y val="-2.3132783283636867E-3"/>
                </c:manualLayout>
              </c:layout>
              <c:tx>
                <c:rich>
                  <a:bodyPr/>
                  <a:lstStyle/>
                  <a:p>
                    <a:r>
                      <a:rPr lang="en-US"/>
                      <a:t>Totana</a:t>
                    </a:r>
                  </a:p>
                </c:rich>
              </c:tx>
              <c:dLblPos val="r"/>
            </c:dLbl>
            <c:dLbl>
              <c:idx val="40"/>
              <c:tx>
                <c:rich>
                  <a:bodyPr/>
                  <a:lstStyle/>
                  <a:p>
                    <a:r>
                      <a:rPr lang="en-US"/>
                      <a:t>Ulea</a:t>
                    </a:r>
                  </a:p>
                </c:rich>
              </c:tx>
            </c:dLbl>
            <c:dLbl>
              <c:idx val="41"/>
              <c:layout>
                <c:manualLayout>
                  <c:x val="-1.6683576984818903E-3"/>
                  <c:y val="3.0756190078317482E-3"/>
                </c:manualLayout>
              </c:layout>
              <c:tx>
                <c:rich>
                  <a:bodyPr/>
                  <a:lstStyle/>
                  <a:p>
                    <a:r>
                      <a:rPr lang="en-US"/>
                      <a:t>La Unión</a:t>
                    </a:r>
                  </a:p>
                </c:rich>
              </c:tx>
            </c:dLbl>
            <c:dLbl>
              <c:idx val="42"/>
              <c:layout>
                <c:manualLayout>
                  <c:x val="-6.5088052741138908E-3"/>
                  <c:y val="3.0914820768511201E-3"/>
                </c:manualLayout>
              </c:layout>
              <c:tx>
                <c:rich>
                  <a:bodyPr/>
                  <a:lstStyle/>
                  <a:p>
                    <a:r>
                      <a:rPr lang="en-US"/>
                      <a:t>Villanueva del Río Segura</a:t>
                    </a:r>
                  </a:p>
                </c:rich>
              </c:tx>
            </c:dLbl>
            <c:dLbl>
              <c:idx val="43"/>
              <c:layout>
                <c:manualLayout>
                  <c:x val="-1.3213213213213221E-2"/>
                  <c:y val="-7.7508110582957396E-3"/>
                </c:manualLayout>
              </c:layout>
              <c:tx>
                <c:rich>
                  <a:bodyPr/>
                  <a:lstStyle/>
                  <a:p>
                    <a:r>
                      <a:rPr lang="en-US"/>
                      <a:t>Yecla</a:t>
                    </a:r>
                  </a:p>
                </c:rich>
              </c:tx>
              <c:dLblPos val="r"/>
            </c:dLbl>
            <c:showVal val="1"/>
          </c:dLbls>
          <c:xVal>
            <c:numRef>
              <c:f>Hoja3!$B$3:$B$46</c:f>
              <c:numCache>
                <c:formatCode>General</c:formatCode>
                <c:ptCount val="44"/>
                <c:pt idx="0">
                  <c:v>0.45525090532850487</c:v>
                </c:pt>
                <c:pt idx="1">
                  <c:v>0.47594412829798288</c:v>
                </c:pt>
                <c:pt idx="2">
                  <c:v>2.1831350232798759</c:v>
                </c:pt>
                <c:pt idx="3">
                  <c:v>2.0693222969477593E-2</c:v>
                </c:pt>
                <c:pt idx="4">
                  <c:v>1.024314536989136</c:v>
                </c:pt>
                <c:pt idx="5">
                  <c:v>2.1107087428867106</c:v>
                </c:pt>
                <c:pt idx="6">
                  <c:v>2.0693222969477593E-2</c:v>
                </c:pt>
                <c:pt idx="7">
                  <c:v>0.77599586135540921</c:v>
                </c:pt>
                <c:pt idx="8">
                  <c:v>2.0382824624935334</c:v>
                </c:pt>
                <c:pt idx="9">
                  <c:v>2.928091050181072</c:v>
                </c:pt>
                <c:pt idx="10">
                  <c:v>1.3243662700465597</c:v>
                </c:pt>
                <c:pt idx="11">
                  <c:v>0.40351784790481254</c:v>
                </c:pt>
                <c:pt idx="12">
                  <c:v>0.43455768235902853</c:v>
                </c:pt>
                <c:pt idx="13">
                  <c:v>0.71391619244697369</c:v>
                </c:pt>
                <c:pt idx="14">
                  <c:v>5.1733057423693878E-2</c:v>
                </c:pt>
                <c:pt idx="15">
                  <c:v>1.1588204862907401</c:v>
                </c:pt>
                <c:pt idx="16">
                  <c:v>17.082255561303672</c:v>
                </c:pt>
                <c:pt idx="17">
                  <c:v>0.82772891877910182</c:v>
                </c:pt>
                <c:pt idx="18">
                  <c:v>0.50698396275219859</c:v>
                </c:pt>
                <c:pt idx="19">
                  <c:v>1.98654940506984</c:v>
                </c:pt>
                <c:pt idx="20">
                  <c:v>0.71391619244697369</c:v>
                </c:pt>
                <c:pt idx="21">
                  <c:v>2.6383859286083808</c:v>
                </c:pt>
                <c:pt idx="22">
                  <c:v>1.7278841179513698</c:v>
                </c:pt>
                <c:pt idx="23">
                  <c:v>0.10346611484738749</c:v>
                </c:pt>
                <c:pt idx="24">
                  <c:v>6.5700982928091198</c:v>
                </c:pt>
                <c:pt idx="25">
                  <c:v>0.39317123642007246</c:v>
                </c:pt>
                <c:pt idx="26">
                  <c:v>5.3595447490946722</c:v>
                </c:pt>
                <c:pt idx="27">
                  <c:v>4.0869115364718045</c:v>
                </c:pt>
                <c:pt idx="28">
                  <c:v>0.15519917227108121</c:v>
                </c:pt>
                <c:pt idx="29">
                  <c:v>0.82772891877910182</c:v>
                </c:pt>
                <c:pt idx="30">
                  <c:v>24.283497154681829</c:v>
                </c:pt>
                <c:pt idx="31">
                  <c:v>0.20693222969477496</c:v>
                </c:pt>
                <c:pt idx="32">
                  <c:v>0.98292809105018164</c:v>
                </c:pt>
                <c:pt idx="33">
                  <c:v>6.2079668908432493E-2</c:v>
                </c:pt>
                <c:pt idx="34">
                  <c:v>3.4040351784790479</c:v>
                </c:pt>
                <c:pt idx="35">
                  <c:v>1.3967925504397309</c:v>
                </c:pt>
                <c:pt idx="36">
                  <c:v>1.1174340403517846</c:v>
                </c:pt>
                <c:pt idx="37">
                  <c:v>4.3145369891360348</c:v>
                </c:pt>
                <c:pt idx="38">
                  <c:v>0.69322296947749618</c:v>
                </c:pt>
                <c:pt idx="39">
                  <c:v>2.1107087428867106</c:v>
                </c:pt>
                <c:pt idx="40">
                  <c:v>1.0346611484738749E-2</c:v>
                </c:pt>
                <c:pt idx="41">
                  <c:v>0.91050181065700975</c:v>
                </c:pt>
                <c:pt idx="42">
                  <c:v>0.12415933781686495</c:v>
                </c:pt>
                <c:pt idx="43">
                  <c:v>1.2829798241076047</c:v>
                </c:pt>
              </c:numCache>
            </c:numRef>
          </c:xVal>
          <c:yVal>
            <c:numRef>
              <c:f>Hoja3!$C$3:$C$46</c:f>
              <c:numCache>
                <c:formatCode>General</c:formatCode>
                <c:ptCount val="44"/>
                <c:pt idx="0">
                  <c:v>23.9</c:v>
                </c:pt>
                <c:pt idx="1">
                  <c:v>16.5</c:v>
                </c:pt>
                <c:pt idx="2">
                  <c:v>14.7</c:v>
                </c:pt>
                <c:pt idx="3">
                  <c:v>18.600000000000001</c:v>
                </c:pt>
                <c:pt idx="4">
                  <c:v>12.6</c:v>
                </c:pt>
                <c:pt idx="5">
                  <c:v>17.2</c:v>
                </c:pt>
                <c:pt idx="6">
                  <c:v>24.6</c:v>
                </c:pt>
                <c:pt idx="7">
                  <c:v>11.9</c:v>
                </c:pt>
                <c:pt idx="8">
                  <c:v>14.2</c:v>
                </c:pt>
                <c:pt idx="9">
                  <c:v>14.4</c:v>
                </c:pt>
                <c:pt idx="10">
                  <c:v>11.8</c:v>
                </c:pt>
                <c:pt idx="11">
                  <c:v>18.5</c:v>
                </c:pt>
                <c:pt idx="12">
                  <c:v>17</c:v>
                </c:pt>
                <c:pt idx="13">
                  <c:v>18.3</c:v>
                </c:pt>
                <c:pt idx="14">
                  <c:v>18.2</c:v>
                </c:pt>
                <c:pt idx="15">
                  <c:v>17.3</c:v>
                </c:pt>
                <c:pt idx="16">
                  <c:v>15.4</c:v>
                </c:pt>
                <c:pt idx="17">
                  <c:v>18.100000000000001</c:v>
                </c:pt>
                <c:pt idx="18">
                  <c:v>11.6</c:v>
                </c:pt>
                <c:pt idx="19">
                  <c:v>15.5</c:v>
                </c:pt>
                <c:pt idx="20">
                  <c:v>14.4</c:v>
                </c:pt>
                <c:pt idx="21">
                  <c:v>12.6</c:v>
                </c:pt>
                <c:pt idx="22">
                  <c:v>13.5</c:v>
                </c:pt>
                <c:pt idx="23">
                  <c:v>17.3</c:v>
                </c:pt>
                <c:pt idx="24">
                  <c:v>14.1</c:v>
                </c:pt>
                <c:pt idx="25">
                  <c:v>12.6</c:v>
                </c:pt>
                <c:pt idx="26">
                  <c:v>20.6</c:v>
                </c:pt>
                <c:pt idx="27">
                  <c:v>10.6</c:v>
                </c:pt>
                <c:pt idx="28">
                  <c:v>23.4</c:v>
                </c:pt>
                <c:pt idx="29">
                  <c:v>15.2</c:v>
                </c:pt>
                <c:pt idx="30">
                  <c:v>14.3</c:v>
                </c:pt>
                <c:pt idx="31">
                  <c:v>20.3</c:v>
                </c:pt>
                <c:pt idx="32">
                  <c:v>16.100000000000001</c:v>
                </c:pt>
                <c:pt idx="33">
                  <c:v>26.3</c:v>
                </c:pt>
                <c:pt idx="34">
                  <c:v>13.9</c:v>
                </c:pt>
                <c:pt idx="35">
                  <c:v>14.4</c:v>
                </c:pt>
                <c:pt idx="36">
                  <c:v>12.3</c:v>
                </c:pt>
                <c:pt idx="37">
                  <c:v>10.3</c:v>
                </c:pt>
                <c:pt idx="38">
                  <c:v>11.5</c:v>
                </c:pt>
                <c:pt idx="39">
                  <c:v>13.6</c:v>
                </c:pt>
                <c:pt idx="40">
                  <c:v>25.8</c:v>
                </c:pt>
                <c:pt idx="41">
                  <c:v>11.5</c:v>
                </c:pt>
                <c:pt idx="42">
                  <c:v>15</c:v>
                </c:pt>
                <c:pt idx="43">
                  <c:v>14.4</c:v>
                </c:pt>
              </c:numCache>
            </c:numRef>
          </c:yVal>
        </c:ser>
        <c:axId val="82831232"/>
        <c:axId val="83210240"/>
      </c:scatterChart>
      <c:valAx>
        <c:axId val="82831232"/>
        <c:scaling>
          <c:orientation val="minMax"/>
        </c:scaling>
        <c:axPos val="b"/>
        <c:title>
          <c:tx>
            <c:rich>
              <a:bodyPr/>
              <a:lstStyle/>
              <a:p>
                <a:pPr>
                  <a:defRPr sz="800" b="0"/>
                </a:pPr>
                <a:r>
                  <a:rPr lang="es-ES" sz="800" b="0"/>
                  <a:t>Porcentaje de población extranjera</a:t>
                </a:r>
              </a:p>
            </c:rich>
          </c:tx>
          <c:layout>
            <c:manualLayout>
              <c:xMode val="edge"/>
              <c:yMode val="edge"/>
              <c:x val="0.42015248719692366"/>
              <c:y val="0.97418510222286869"/>
            </c:manualLayout>
          </c:layout>
        </c:title>
        <c:numFmt formatCode="General" sourceLinked="1"/>
        <c:majorTickMark val="none"/>
        <c:tickLblPos val="nextTo"/>
        <c:txPr>
          <a:bodyPr rot="0" vert="horz"/>
          <a:lstStyle/>
          <a:p>
            <a:pPr>
              <a:defRPr/>
            </a:pPr>
            <a:endParaRPr lang="es-ES"/>
          </a:p>
        </c:txPr>
        <c:crossAx val="83210240"/>
        <c:crosses val="autoZero"/>
        <c:crossBetween val="midCat"/>
        <c:majorUnit val="2"/>
      </c:valAx>
      <c:valAx>
        <c:axId val="83210240"/>
        <c:scaling>
          <c:orientation val="minMax"/>
          <c:max val="26"/>
          <c:min val="10"/>
        </c:scaling>
        <c:axPos val="l"/>
        <c:majorGridlines/>
        <c:title>
          <c:tx>
            <c:rich>
              <a:bodyPr/>
              <a:lstStyle/>
              <a:p>
                <a:pPr>
                  <a:defRPr sz="800" b="0"/>
                </a:pPr>
                <a:r>
                  <a:rPr lang="es-ES" sz="800" b="0"/>
                  <a:t>Porcentaje de población de 65 y más años</a:t>
                </a:r>
              </a:p>
            </c:rich>
          </c:tx>
          <c:layout>
            <c:manualLayout>
              <c:xMode val="edge"/>
              <c:yMode val="edge"/>
              <c:x val="1.669646112759059E-2"/>
              <c:y val="0.37973680583637381"/>
            </c:manualLayout>
          </c:layout>
        </c:title>
        <c:numFmt formatCode="General" sourceLinked="1"/>
        <c:majorTickMark val="none"/>
        <c:tickLblPos val="nextTo"/>
        <c:crossAx val="82831232"/>
        <c:crossesAt val="0"/>
        <c:crossBetween val="midCat"/>
        <c:minorUnit val="0.4"/>
      </c:valAx>
    </c:plotArea>
    <c:plotVisOnly val="1"/>
    <c:dispBlanksAs val="gap"/>
  </c:chart>
  <c:spPr>
    <a:ln>
      <a:noFill/>
    </a:ln>
  </c:spPr>
  <c:txPr>
    <a:bodyPr/>
    <a:lstStyle/>
    <a:p>
      <a:pPr>
        <a:defRPr sz="600">
          <a:solidFill>
            <a:sysClr val="windowText" lastClr="000000"/>
          </a:solidFill>
          <a:latin typeface="Arial" pitchFamily="34" charset="0"/>
          <a:cs typeface="Arial" pitchFamily="34" charset="0"/>
        </a:defRPr>
      </a:pPr>
      <a:endParaRPr lang="es-ES"/>
    </a:p>
  </c:txPr>
  <c:externalData r:id="rId2"/>
</c:chartSpace>
</file>

<file path=word/charts/chart2.xml><?xml version="1.0" encoding="utf-8"?>
<c:chartSpace xmlns:c="http://schemas.openxmlformats.org/drawingml/2006/chart" xmlns:a="http://schemas.openxmlformats.org/drawingml/2006/main" xmlns:r="http://schemas.openxmlformats.org/officeDocument/2006/relationships">
  <c:date1904 val="1"/>
  <c:lang val="es-ES"/>
  <c:chart>
    <c:autoTitleDeleted val="1"/>
    <c:plotArea>
      <c:layout>
        <c:manualLayout>
          <c:layoutTarget val="inner"/>
          <c:xMode val="edge"/>
          <c:yMode val="edge"/>
          <c:x val="0.12784890186974304"/>
          <c:y val="4.3019793465987693E-2"/>
          <c:w val="0.85803843201242835"/>
          <c:h val="0.74335380999627054"/>
        </c:manualLayout>
      </c:layout>
      <c:lineChart>
        <c:grouping val="standard"/>
        <c:ser>
          <c:idx val="0"/>
          <c:order val="0"/>
          <c:tx>
            <c:strRef>
              <c:f>Hoja1!$B$1</c:f>
              <c:strCache>
                <c:ptCount val="1"/>
                <c:pt idx="0">
                  <c:v>Hombres</c:v>
                </c:pt>
              </c:strCache>
            </c:strRef>
          </c:tx>
          <c:marker>
            <c:symbol val="none"/>
          </c:marker>
          <c:cat>
            <c:numRef>
              <c:f>Hoja1!$A$2:$A$24</c:f>
              <c:numCache>
                <c:formatCode>General</c:formatCode>
                <c:ptCount val="23"/>
                <c:pt idx="0">
                  <c:v>1991</c:v>
                </c:pt>
                <c:pt idx="1">
                  <c:v>1992</c:v>
                </c:pt>
                <c:pt idx="2">
                  <c:v>1993</c:v>
                </c:pt>
                <c:pt idx="3">
                  <c:v>1994</c:v>
                </c:pt>
                <c:pt idx="4">
                  <c:v>1995</c:v>
                </c:pt>
                <c:pt idx="5">
                  <c:v>1996</c:v>
                </c:pt>
                <c:pt idx="6">
                  <c:v>1997</c:v>
                </c:pt>
                <c:pt idx="7">
                  <c:v>1998</c:v>
                </c:pt>
                <c:pt idx="8">
                  <c:v>1999</c:v>
                </c:pt>
                <c:pt idx="9">
                  <c:v>2000</c:v>
                </c:pt>
                <c:pt idx="10">
                  <c:v>2001</c:v>
                </c:pt>
                <c:pt idx="11">
                  <c:v>2002</c:v>
                </c:pt>
                <c:pt idx="12">
                  <c:v>2003</c:v>
                </c:pt>
                <c:pt idx="13">
                  <c:v>2004</c:v>
                </c:pt>
                <c:pt idx="14">
                  <c:v>2005</c:v>
                </c:pt>
                <c:pt idx="15">
                  <c:v>2006</c:v>
                </c:pt>
                <c:pt idx="16">
                  <c:v>2007</c:v>
                </c:pt>
                <c:pt idx="17">
                  <c:v>2008</c:v>
                </c:pt>
                <c:pt idx="18">
                  <c:v>2009</c:v>
                </c:pt>
                <c:pt idx="19">
                  <c:v>2010</c:v>
                </c:pt>
                <c:pt idx="20">
                  <c:v>2011</c:v>
                </c:pt>
                <c:pt idx="21">
                  <c:v>2012</c:v>
                </c:pt>
                <c:pt idx="22">
                  <c:v>2013</c:v>
                </c:pt>
              </c:numCache>
            </c:numRef>
          </c:cat>
          <c:val>
            <c:numRef>
              <c:f>Hoja1!$B$2:$B$24</c:f>
              <c:numCache>
                <c:formatCode>0.00</c:formatCode>
                <c:ptCount val="23"/>
                <c:pt idx="0">
                  <c:v>73.390869999999993</c:v>
                </c:pt>
                <c:pt idx="1">
                  <c:v>73.779721999999978</c:v>
                </c:pt>
                <c:pt idx="2">
                  <c:v>74.225237999999948</c:v>
                </c:pt>
                <c:pt idx="3">
                  <c:v>74.217771999999982</c:v>
                </c:pt>
                <c:pt idx="4">
                  <c:v>74.859848999999514</c:v>
                </c:pt>
                <c:pt idx="5">
                  <c:v>74.842916000000002</c:v>
                </c:pt>
                <c:pt idx="6">
                  <c:v>74.689250999999999</c:v>
                </c:pt>
                <c:pt idx="7">
                  <c:v>74.870901999999958</c:v>
                </c:pt>
                <c:pt idx="8">
                  <c:v>74.720393000000001</c:v>
                </c:pt>
                <c:pt idx="9">
                  <c:v>75.198540999999949</c:v>
                </c:pt>
                <c:pt idx="10">
                  <c:v>75.643586999999982</c:v>
                </c:pt>
                <c:pt idx="11">
                  <c:v>75.916184000000442</c:v>
                </c:pt>
                <c:pt idx="12">
                  <c:v>76.202661000000006</c:v>
                </c:pt>
                <c:pt idx="13">
                  <c:v>76.513133999999994</c:v>
                </c:pt>
                <c:pt idx="14">
                  <c:v>76.620776999999293</c:v>
                </c:pt>
                <c:pt idx="15">
                  <c:v>77.264025000000501</c:v>
                </c:pt>
                <c:pt idx="16">
                  <c:v>77.296282000000005</c:v>
                </c:pt>
                <c:pt idx="17">
                  <c:v>77.826402999999758</c:v>
                </c:pt>
                <c:pt idx="18">
                  <c:v>78.229339999999979</c:v>
                </c:pt>
                <c:pt idx="19">
                  <c:v>78.973219000000327</c:v>
                </c:pt>
                <c:pt idx="20">
                  <c:v>78.989337999999989</c:v>
                </c:pt>
                <c:pt idx="21">
                  <c:v>78.891064000000227</c:v>
                </c:pt>
                <c:pt idx="22">
                  <c:v>79.808985999999948</c:v>
                </c:pt>
              </c:numCache>
            </c:numRef>
          </c:val>
        </c:ser>
        <c:ser>
          <c:idx val="1"/>
          <c:order val="1"/>
          <c:tx>
            <c:strRef>
              <c:f>Hoja1!$C$1</c:f>
              <c:strCache>
                <c:ptCount val="1"/>
                <c:pt idx="0">
                  <c:v>Mujeres</c:v>
                </c:pt>
              </c:strCache>
            </c:strRef>
          </c:tx>
          <c:marker>
            <c:symbol val="none"/>
          </c:marker>
          <c:cat>
            <c:numRef>
              <c:f>Hoja1!$A$2:$A$24</c:f>
              <c:numCache>
                <c:formatCode>General</c:formatCode>
                <c:ptCount val="23"/>
                <c:pt idx="0">
                  <c:v>1991</c:v>
                </c:pt>
                <c:pt idx="1">
                  <c:v>1992</c:v>
                </c:pt>
                <c:pt idx="2">
                  <c:v>1993</c:v>
                </c:pt>
                <c:pt idx="3">
                  <c:v>1994</c:v>
                </c:pt>
                <c:pt idx="4">
                  <c:v>1995</c:v>
                </c:pt>
                <c:pt idx="5">
                  <c:v>1996</c:v>
                </c:pt>
                <c:pt idx="6">
                  <c:v>1997</c:v>
                </c:pt>
                <c:pt idx="7">
                  <c:v>1998</c:v>
                </c:pt>
                <c:pt idx="8">
                  <c:v>1999</c:v>
                </c:pt>
                <c:pt idx="9">
                  <c:v>2000</c:v>
                </c:pt>
                <c:pt idx="10">
                  <c:v>2001</c:v>
                </c:pt>
                <c:pt idx="11">
                  <c:v>2002</c:v>
                </c:pt>
                <c:pt idx="12">
                  <c:v>2003</c:v>
                </c:pt>
                <c:pt idx="13">
                  <c:v>2004</c:v>
                </c:pt>
                <c:pt idx="14">
                  <c:v>2005</c:v>
                </c:pt>
                <c:pt idx="15">
                  <c:v>2006</c:v>
                </c:pt>
                <c:pt idx="16">
                  <c:v>2007</c:v>
                </c:pt>
                <c:pt idx="17">
                  <c:v>2008</c:v>
                </c:pt>
                <c:pt idx="18">
                  <c:v>2009</c:v>
                </c:pt>
                <c:pt idx="19">
                  <c:v>2010</c:v>
                </c:pt>
                <c:pt idx="20">
                  <c:v>2011</c:v>
                </c:pt>
                <c:pt idx="21">
                  <c:v>2012</c:v>
                </c:pt>
                <c:pt idx="22">
                  <c:v>2013</c:v>
                </c:pt>
              </c:numCache>
            </c:numRef>
          </c:cat>
          <c:val>
            <c:numRef>
              <c:f>Hoja1!$C$2:$C$24</c:f>
              <c:numCache>
                <c:formatCode>0.00</c:formatCode>
                <c:ptCount val="23"/>
                <c:pt idx="0">
                  <c:v>79.596638999999982</c:v>
                </c:pt>
                <c:pt idx="1">
                  <c:v>80.348634000000004</c:v>
                </c:pt>
                <c:pt idx="2">
                  <c:v>80.647633999999996</c:v>
                </c:pt>
                <c:pt idx="3">
                  <c:v>80.963245000000327</c:v>
                </c:pt>
                <c:pt idx="4">
                  <c:v>81.099360000000004</c:v>
                </c:pt>
                <c:pt idx="5">
                  <c:v>81.069654999999997</c:v>
                </c:pt>
                <c:pt idx="6">
                  <c:v>81.257730999999978</c:v>
                </c:pt>
                <c:pt idx="7">
                  <c:v>81.396646000000004</c:v>
                </c:pt>
                <c:pt idx="8">
                  <c:v>80.965636000000003</c:v>
                </c:pt>
                <c:pt idx="9">
                  <c:v>81.602855999999989</c:v>
                </c:pt>
                <c:pt idx="10">
                  <c:v>82.349793000000005</c:v>
                </c:pt>
                <c:pt idx="11">
                  <c:v>82.050530999999978</c:v>
                </c:pt>
                <c:pt idx="12">
                  <c:v>82.035843</c:v>
                </c:pt>
                <c:pt idx="13">
                  <c:v>82.607861</c:v>
                </c:pt>
                <c:pt idx="14">
                  <c:v>82.882548999999528</c:v>
                </c:pt>
                <c:pt idx="15">
                  <c:v>83.331121999999993</c:v>
                </c:pt>
                <c:pt idx="16">
                  <c:v>83.423220000000327</c:v>
                </c:pt>
                <c:pt idx="17">
                  <c:v>83.048046999999983</c:v>
                </c:pt>
                <c:pt idx="18">
                  <c:v>83.62715799999998</c:v>
                </c:pt>
                <c:pt idx="19">
                  <c:v>84.286626999999996</c:v>
                </c:pt>
                <c:pt idx="20">
                  <c:v>84.478557999999978</c:v>
                </c:pt>
                <c:pt idx="21">
                  <c:v>84.617514999999997</c:v>
                </c:pt>
                <c:pt idx="22">
                  <c:v>84.870180999999988</c:v>
                </c:pt>
              </c:numCache>
            </c:numRef>
          </c:val>
        </c:ser>
        <c:marker val="1"/>
        <c:axId val="79486336"/>
        <c:axId val="79548800"/>
      </c:lineChart>
      <c:catAx>
        <c:axId val="79486336"/>
        <c:scaling>
          <c:orientation val="minMax"/>
        </c:scaling>
        <c:axPos val="b"/>
        <c:numFmt formatCode="General" sourceLinked="1"/>
        <c:majorTickMark val="none"/>
        <c:tickLblPos val="nextTo"/>
        <c:txPr>
          <a:bodyPr rot="-5400000" vert="horz"/>
          <a:lstStyle/>
          <a:p>
            <a:pPr>
              <a:defRPr/>
            </a:pPr>
            <a:endParaRPr lang="es-ES"/>
          </a:p>
        </c:txPr>
        <c:crossAx val="79548800"/>
        <c:crosses val="autoZero"/>
        <c:auto val="1"/>
        <c:lblAlgn val="ctr"/>
        <c:lblOffset val="100"/>
      </c:catAx>
      <c:valAx>
        <c:axId val="79548800"/>
        <c:scaling>
          <c:orientation val="minMax"/>
        </c:scaling>
        <c:axPos val="l"/>
        <c:majorGridlines/>
        <c:title>
          <c:tx>
            <c:rich>
              <a:bodyPr/>
              <a:lstStyle/>
              <a:p>
                <a:pPr>
                  <a:defRPr/>
                </a:pPr>
                <a:r>
                  <a:rPr lang="es-ES"/>
                  <a:t>Años</a:t>
                </a:r>
              </a:p>
            </c:rich>
          </c:tx>
        </c:title>
        <c:numFmt formatCode="General" sourceLinked="0"/>
        <c:majorTickMark val="none"/>
        <c:tickLblPos val="nextTo"/>
        <c:crossAx val="79486336"/>
        <c:crosses val="autoZero"/>
        <c:crossBetween val="between"/>
      </c:valAx>
    </c:plotArea>
    <c:legend>
      <c:legendPos val="r"/>
      <c:layout>
        <c:manualLayout>
          <c:xMode val="edge"/>
          <c:yMode val="edge"/>
          <c:x val="0.25288712367381438"/>
          <c:y val="0.92545819172067256"/>
          <c:w val="0.49308488620506497"/>
          <c:h val="7.2686383370979435E-2"/>
        </c:manualLayout>
      </c:layout>
    </c:legend>
    <c:plotVisOnly val="1"/>
  </c:chart>
  <c:spPr>
    <a:ln>
      <a:solidFill>
        <a:schemeClr val="bg1"/>
      </a:solidFill>
    </a:ln>
  </c:spPr>
  <c:txPr>
    <a:bodyPr/>
    <a:lstStyle/>
    <a:p>
      <a:pPr>
        <a:defRPr sz="1000">
          <a:latin typeface="Times New Roman" pitchFamily="18" charset="0"/>
          <a:cs typeface="Times New Roman" pitchFamily="18" charset="0"/>
        </a:defRPr>
      </a:pPr>
      <a:endParaRPr lang="es-ES"/>
    </a:p>
  </c:txPr>
  <c:externalData r:id="rId1"/>
</c:chartSpace>
</file>

<file path=word/charts/chart3.xml><?xml version="1.0" encoding="utf-8"?>
<c:chartSpace xmlns:c="http://schemas.openxmlformats.org/drawingml/2006/chart" xmlns:a="http://schemas.openxmlformats.org/drawingml/2006/main" xmlns:r="http://schemas.openxmlformats.org/officeDocument/2006/relationships">
  <c:date1904 val="1"/>
  <c:lang val="es-ES"/>
  <c:chart>
    <c:autoTitleDeleted val="1"/>
    <c:plotArea>
      <c:layout/>
      <c:lineChart>
        <c:grouping val="standard"/>
        <c:ser>
          <c:idx val="0"/>
          <c:order val="0"/>
          <c:tx>
            <c:strRef>
              <c:f>Hoja1!$B$1</c:f>
              <c:strCache>
                <c:ptCount val="1"/>
                <c:pt idx="0">
                  <c:v>Columna1</c:v>
                </c:pt>
              </c:strCache>
            </c:strRef>
          </c:tx>
          <c:marker>
            <c:symbol val="none"/>
          </c:marker>
          <c:cat>
            <c:numRef>
              <c:f>Hoja1!$A$2:$A$24</c:f>
              <c:numCache>
                <c:formatCode>General</c:formatCode>
                <c:ptCount val="23"/>
                <c:pt idx="0">
                  <c:v>1991</c:v>
                </c:pt>
                <c:pt idx="1">
                  <c:v>1992</c:v>
                </c:pt>
                <c:pt idx="2">
                  <c:v>1993</c:v>
                </c:pt>
                <c:pt idx="3">
                  <c:v>1994</c:v>
                </c:pt>
                <c:pt idx="4">
                  <c:v>1995</c:v>
                </c:pt>
                <c:pt idx="5">
                  <c:v>1996</c:v>
                </c:pt>
                <c:pt idx="6">
                  <c:v>1997</c:v>
                </c:pt>
                <c:pt idx="7">
                  <c:v>1998</c:v>
                </c:pt>
                <c:pt idx="8">
                  <c:v>1999</c:v>
                </c:pt>
                <c:pt idx="9">
                  <c:v>2000</c:v>
                </c:pt>
                <c:pt idx="10">
                  <c:v>2001</c:v>
                </c:pt>
                <c:pt idx="11">
                  <c:v>2002</c:v>
                </c:pt>
                <c:pt idx="12">
                  <c:v>2003</c:v>
                </c:pt>
                <c:pt idx="13">
                  <c:v>2004</c:v>
                </c:pt>
                <c:pt idx="14">
                  <c:v>2005</c:v>
                </c:pt>
                <c:pt idx="15">
                  <c:v>2006</c:v>
                </c:pt>
                <c:pt idx="16">
                  <c:v>2007</c:v>
                </c:pt>
                <c:pt idx="17">
                  <c:v>2008</c:v>
                </c:pt>
                <c:pt idx="18">
                  <c:v>2009</c:v>
                </c:pt>
                <c:pt idx="19">
                  <c:v>2010</c:v>
                </c:pt>
                <c:pt idx="20">
                  <c:v>2011</c:v>
                </c:pt>
                <c:pt idx="21">
                  <c:v>2012</c:v>
                </c:pt>
                <c:pt idx="22">
                  <c:v>2013</c:v>
                </c:pt>
              </c:numCache>
            </c:numRef>
          </c:cat>
          <c:val>
            <c:numRef>
              <c:f>Hoja1!$B$2:$B$24</c:f>
              <c:numCache>
                <c:formatCode>General</c:formatCode>
                <c:ptCount val="23"/>
                <c:pt idx="0">
                  <c:v>28.79</c:v>
                </c:pt>
                <c:pt idx="1">
                  <c:v>29</c:v>
                </c:pt>
                <c:pt idx="2">
                  <c:v>29.23</c:v>
                </c:pt>
                <c:pt idx="3">
                  <c:v>29.47</c:v>
                </c:pt>
                <c:pt idx="4">
                  <c:v>29.6</c:v>
                </c:pt>
                <c:pt idx="5">
                  <c:v>29.9</c:v>
                </c:pt>
                <c:pt idx="6">
                  <c:v>30.01</c:v>
                </c:pt>
                <c:pt idx="7">
                  <c:v>30.14</c:v>
                </c:pt>
                <c:pt idx="8">
                  <c:v>30.16</c:v>
                </c:pt>
                <c:pt idx="9">
                  <c:v>30.12</c:v>
                </c:pt>
                <c:pt idx="10">
                  <c:v>30.03</c:v>
                </c:pt>
                <c:pt idx="11">
                  <c:v>30.110000000000031</c:v>
                </c:pt>
                <c:pt idx="12">
                  <c:v>30.03</c:v>
                </c:pt>
                <c:pt idx="13">
                  <c:v>30.150000000000031</c:v>
                </c:pt>
                <c:pt idx="14">
                  <c:v>30.16</c:v>
                </c:pt>
                <c:pt idx="15">
                  <c:v>30.25</c:v>
                </c:pt>
                <c:pt idx="16">
                  <c:v>30.09</c:v>
                </c:pt>
                <c:pt idx="17">
                  <c:v>30.150000000000031</c:v>
                </c:pt>
                <c:pt idx="18">
                  <c:v>30.37</c:v>
                </c:pt>
                <c:pt idx="19">
                  <c:v>30.630000000000031</c:v>
                </c:pt>
                <c:pt idx="20">
                  <c:v>30.74</c:v>
                </c:pt>
                <c:pt idx="21">
                  <c:v>30.88</c:v>
                </c:pt>
                <c:pt idx="22" formatCode="0.00">
                  <c:v>31.013397999999999</c:v>
                </c:pt>
              </c:numCache>
            </c:numRef>
          </c:val>
        </c:ser>
        <c:marker val="1"/>
        <c:axId val="79894016"/>
        <c:axId val="79934208"/>
      </c:lineChart>
      <c:catAx>
        <c:axId val="79894016"/>
        <c:scaling>
          <c:orientation val="minMax"/>
        </c:scaling>
        <c:axPos val="b"/>
        <c:numFmt formatCode="General" sourceLinked="1"/>
        <c:majorTickMark val="none"/>
        <c:tickLblPos val="nextTo"/>
        <c:txPr>
          <a:bodyPr rot="-5400000" vert="horz"/>
          <a:lstStyle/>
          <a:p>
            <a:pPr>
              <a:defRPr sz="800"/>
            </a:pPr>
            <a:endParaRPr lang="es-ES"/>
          </a:p>
        </c:txPr>
        <c:crossAx val="79934208"/>
        <c:crosses val="autoZero"/>
        <c:auto val="1"/>
        <c:lblAlgn val="ctr"/>
        <c:lblOffset val="100"/>
      </c:catAx>
      <c:valAx>
        <c:axId val="79934208"/>
        <c:scaling>
          <c:orientation val="minMax"/>
          <c:max val="31"/>
          <c:min val="28"/>
        </c:scaling>
        <c:axPos val="l"/>
        <c:majorGridlines/>
        <c:title>
          <c:tx>
            <c:rich>
              <a:bodyPr/>
              <a:lstStyle/>
              <a:p>
                <a:pPr>
                  <a:defRPr/>
                </a:pPr>
                <a:r>
                  <a:rPr lang="es-ES"/>
                  <a:t>Edad media</a:t>
                </a:r>
              </a:p>
            </c:rich>
          </c:tx>
        </c:title>
        <c:numFmt formatCode="General" sourceLinked="1"/>
        <c:majorTickMark val="none"/>
        <c:tickLblPos val="nextTo"/>
        <c:crossAx val="79894016"/>
        <c:crosses val="autoZero"/>
        <c:crossBetween val="between"/>
        <c:majorUnit val="0.5"/>
      </c:valAx>
    </c:plotArea>
    <c:plotVisOnly val="1"/>
  </c:chart>
  <c:spPr>
    <a:ln>
      <a:noFill/>
    </a:ln>
  </c:spPr>
  <c:txPr>
    <a:bodyPr/>
    <a:lstStyle/>
    <a:p>
      <a:pPr>
        <a:defRPr sz="1000">
          <a:latin typeface="Times New Roman" pitchFamily="18" charset="0"/>
          <a:cs typeface="Times New Roman" pitchFamily="18" charset="0"/>
        </a:defRPr>
      </a:pPr>
      <a:endParaRPr lang="es-ES"/>
    </a:p>
  </c:txPr>
  <c:externalData r:id="rId1"/>
</c:chartSpace>
</file>

<file path=word/charts/chart4.xml><?xml version="1.0" encoding="utf-8"?>
<c:chartSpace xmlns:c="http://schemas.openxmlformats.org/drawingml/2006/chart" xmlns:a="http://schemas.openxmlformats.org/drawingml/2006/main" xmlns:r="http://schemas.openxmlformats.org/officeDocument/2006/relationships">
  <c:date1904 val="1"/>
  <c:lang val="es-ES"/>
  <c:chart>
    <c:autoTitleDeleted val="1"/>
    <c:plotArea>
      <c:layout>
        <c:manualLayout>
          <c:layoutTarget val="inner"/>
          <c:xMode val="edge"/>
          <c:yMode val="edge"/>
          <c:x val="0.10071325714635866"/>
          <c:y val="4.8552885873188692E-2"/>
          <c:w val="0.8258302439821481"/>
          <c:h val="0.7547150519228577"/>
        </c:manualLayout>
      </c:layout>
      <c:lineChart>
        <c:grouping val="standard"/>
        <c:ser>
          <c:idx val="0"/>
          <c:order val="0"/>
          <c:tx>
            <c:strRef>
              <c:f>Hoja1!$B$1</c:f>
              <c:strCache>
                <c:ptCount val="1"/>
                <c:pt idx="0">
                  <c:v>1991</c:v>
                </c:pt>
              </c:strCache>
            </c:strRef>
          </c:tx>
          <c:marker>
            <c:symbol val="none"/>
          </c:marker>
          <c:cat>
            <c:strRef>
              <c:f>Hoja1!$A$2:$A$8</c:f>
              <c:strCache>
                <c:ptCount val="7"/>
                <c:pt idx="0">
                  <c:v>15-19</c:v>
                </c:pt>
                <c:pt idx="1">
                  <c:v>20-24</c:v>
                </c:pt>
                <c:pt idx="2">
                  <c:v>25-29</c:v>
                </c:pt>
                <c:pt idx="3">
                  <c:v>30-34</c:v>
                </c:pt>
                <c:pt idx="4">
                  <c:v>35-39</c:v>
                </c:pt>
                <c:pt idx="5">
                  <c:v>40-44</c:v>
                </c:pt>
                <c:pt idx="6">
                  <c:v>45 y más</c:v>
                </c:pt>
              </c:strCache>
            </c:strRef>
          </c:cat>
          <c:val>
            <c:numRef>
              <c:f>Hoja1!$B$2:$B$8</c:f>
              <c:numCache>
                <c:formatCode>General</c:formatCode>
                <c:ptCount val="7"/>
                <c:pt idx="0">
                  <c:v>92.960000000000022</c:v>
                </c:pt>
                <c:pt idx="1">
                  <c:v>313.35000000000002</c:v>
                </c:pt>
                <c:pt idx="2">
                  <c:v>607.58000000000004</c:v>
                </c:pt>
                <c:pt idx="3">
                  <c:v>441.72999999999894</c:v>
                </c:pt>
                <c:pt idx="4">
                  <c:v>174.41000000000003</c:v>
                </c:pt>
                <c:pt idx="5">
                  <c:v>46.13000000000001</c:v>
                </c:pt>
                <c:pt idx="6">
                  <c:v>3.4499999999999997</c:v>
                </c:pt>
              </c:numCache>
            </c:numRef>
          </c:val>
        </c:ser>
        <c:ser>
          <c:idx val="1"/>
          <c:order val="1"/>
          <c:tx>
            <c:strRef>
              <c:f>Hoja1!$C$1</c:f>
              <c:strCache>
                <c:ptCount val="1"/>
                <c:pt idx="0">
                  <c:v>2013</c:v>
                </c:pt>
              </c:strCache>
            </c:strRef>
          </c:tx>
          <c:marker>
            <c:symbol val="none"/>
          </c:marker>
          <c:cat>
            <c:strRef>
              <c:f>Hoja1!$A$2:$A$8</c:f>
              <c:strCache>
                <c:ptCount val="7"/>
                <c:pt idx="0">
                  <c:v>15-19</c:v>
                </c:pt>
                <c:pt idx="1">
                  <c:v>20-24</c:v>
                </c:pt>
                <c:pt idx="2">
                  <c:v>25-29</c:v>
                </c:pt>
                <c:pt idx="3">
                  <c:v>30-34</c:v>
                </c:pt>
                <c:pt idx="4">
                  <c:v>35-39</c:v>
                </c:pt>
                <c:pt idx="5">
                  <c:v>40-44</c:v>
                </c:pt>
                <c:pt idx="6">
                  <c:v>45 y más</c:v>
                </c:pt>
              </c:strCache>
            </c:strRef>
          </c:cat>
          <c:val>
            <c:numRef>
              <c:f>Hoja1!$C$2:$C$8</c:f>
              <c:numCache>
                <c:formatCode>0.00</c:formatCode>
                <c:ptCount val="7"/>
                <c:pt idx="0">
                  <c:v>63.821341000000004</c:v>
                </c:pt>
                <c:pt idx="1">
                  <c:v>191.06482</c:v>
                </c:pt>
                <c:pt idx="2">
                  <c:v>353.17543000000001</c:v>
                </c:pt>
                <c:pt idx="3">
                  <c:v>498.94586800000002</c:v>
                </c:pt>
                <c:pt idx="4">
                  <c:v>318.60552300000006</c:v>
                </c:pt>
                <c:pt idx="5">
                  <c:v>75.528549999999981</c:v>
                </c:pt>
                <c:pt idx="6">
                  <c:v>4.5006230000000134</c:v>
                </c:pt>
              </c:numCache>
            </c:numRef>
          </c:val>
        </c:ser>
        <c:marker val="1"/>
        <c:axId val="81737216"/>
        <c:axId val="81738752"/>
      </c:lineChart>
      <c:catAx>
        <c:axId val="81737216"/>
        <c:scaling>
          <c:orientation val="minMax"/>
        </c:scaling>
        <c:axPos val="b"/>
        <c:majorTickMark val="none"/>
        <c:tickLblPos val="nextTo"/>
        <c:txPr>
          <a:bodyPr rot="0" vert="horz"/>
          <a:lstStyle/>
          <a:p>
            <a:pPr>
              <a:defRPr/>
            </a:pPr>
            <a:endParaRPr lang="es-ES"/>
          </a:p>
        </c:txPr>
        <c:crossAx val="81738752"/>
        <c:crosses val="autoZero"/>
        <c:auto val="1"/>
        <c:lblAlgn val="ctr"/>
        <c:lblOffset val="100"/>
      </c:catAx>
      <c:valAx>
        <c:axId val="81738752"/>
        <c:scaling>
          <c:orientation val="minMax"/>
          <c:max val="650"/>
          <c:min val="0"/>
        </c:scaling>
        <c:axPos val="l"/>
        <c:majorGridlines/>
        <c:numFmt formatCode="General" sourceLinked="1"/>
        <c:majorTickMark val="none"/>
        <c:tickLblPos val="nextTo"/>
        <c:spPr>
          <a:ln w="9525">
            <a:noFill/>
          </a:ln>
        </c:spPr>
        <c:crossAx val="81737216"/>
        <c:crosses val="autoZero"/>
        <c:crossBetween val="midCat"/>
        <c:majorUnit val="100"/>
      </c:valAx>
      <c:spPr>
        <a:noFill/>
        <a:ln w="25400">
          <a:noFill/>
        </a:ln>
      </c:spPr>
    </c:plotArea>
    <c:legend>
      <c:legendPos val="b"/>
      <c:layout>
        <c:manualLayout>
          <c:xMode val="edge"/>
          <c:yMode val="edge"/>
          <c:x val="0.34908947116075056"/>
          <c:y val="0.92597816577273828"/>
          <c:w val="0.30182092997132143"/>
          <c:h val="7.4021834227244024E-2"/>
        </c:manualLayout>
      </c:layout>
    </c:legend>
    <c:plotVisOnly val="1"/>
  </c:chart>
  <c:spPr>
    <a:ln>
      <a:noFill/>
    </a:ln>
  </c:spPr>
  <c:txPr>
    <a:bodyPr/>
    <a:lstStyle/>
    <a:p>
      <a:pPr>
        <a:defRPr sz="1000">
          <a:latin typeface="Times New Roman" pitchFamily="18" charset="0"/>
          <a:cs typeface="Times New Roman" pitchFamily="18" charset="0"/>
        </a:defRPr>
      </a:pPr>
      <a:endParaRPr lang="es-ES"/>
    </a:p>
  </c:txPr>
  <c:externalData r:id="rId1"/>
</c:chartSpace>
</file>

<file path=word/charts/chart5.xml><?xml version="1.0" encoding="utf-8"?>
<c:chartSpace xmlns:c="http://schemas.openxmlformats.org/drawingml/2006/chart" xmlns:a="http://schemas.openxmlformats.org/drawingml/2006/main" xmlns:r="http://schemas.openxmlformats.org/officeDocument/2006/relationships">
  <c:date1904 val="1"/>
  <c:lang val="es-ES"/>
  <c:chart>
    <c:autoTitleDeleted val="1"/>
    <c:plotArea>
      <c:layout>
        <c:manualLayout>
          <c:layoutTarget val="inner"/>
          <c:xMode val="edge"/>
          <c:yMode val="edge"/>
          <c:x val="8.2967361320274768E-2"/>
          <c:y val="3.5123516537177032E-2"/>
          <c:w val="0.8807366737631277"/>
          <c:h val="0.70963001717813212"/>
        </c:manualLayout>
      </c:layout>
      <c:lineChart>
        <c:grouping val="standard"/>
        <c:ser>
          <c:idx val="0"/>
          <c:order val="0"/>
          <c:tx>
            <c:strRef>
              <c:f>Hoja1!$B$1</c:f>
              <c:strCache>
                <c:ptCount val="1"/>
                <c:pt idx="0">
                  <c:v>Reposición</c:v>
                </c:pt>
              </c:strCache>
            </c:strRef>
          </c:tx>
          <c:marker>
            <c:symbol val="none"/>
          </c:marker>
          <c:cat>
            <c:numRef>
              <c:f>Hoja1!$A$2:$A$24</c:f>
              <c:numCache>
                <c:formatCode>General</c:formatCode>
                <c:ptCount val="23"/>
                <c:pt idx="0">
                  <c:v>1991</c:v>
                </c:pt>
                <c:pt idx="1">
                  <c:v>1992</c:v>
                </c:pt>
                <c:pt idx="2">
                  <c:v>1993</c:v>
                </c:pt>
                <c:pt idx="3">
                  <c:v>1994</c:v>
                </c:pt>
                <c:pt idx="4">
                  <c:v>1995</c:v>
                </c:pt>
                <c:pt idx="5">
                  <c:v>1996</c:v>
                </c:pt>
                <c:pt idx="6">
                  <c:v>1997</c:v>
                </c:pt>
                <c:pt idx="7">
                  <c:v>1998</c:v>
                </c:pt>
                <c:pt idx="8">
                  <c:v>1999</c:v>
                </c:pt>
                <c:pt idx="9">
                  <c:v>2000</c:v>
                </c:pt>
                <c:pt idx="10">
                  <c:v>2001</c:v>
                </c:pt>
                <c:pt idx="11">
                  <c:v>2002</c:v>
                </c:pt>
                <c:pt idx="12">
                  <c:v>2003</c:v>
                </c:pt>
                <c:pt idx="13">
                  <c:v>2004</c:v>
                </c:pt>
                <c:pt idx="14">
                  <c:v>2005</c:v>
                </c:pt>
                <c:pt idx="15">
                  <c:v>2006</c:v>
                </c:pt>
                <c:pt idx="16">
                  <c:v>2007</c:v>
                </c:pt>
                <c:pt idx="17">
                  <c:v>2008</c:v>
                </c:pt>
                <c:pt idx="18">
                  <c:v>2009</c:v>
                </c:pt>
                <c:pt idx="19">
                  <c:v>2010</c:v>
                </c:pt>
                <c:pt idx="20">
                  <c:v>2011</c:v>
                </c:pt>
                <c:pt idx="21">
                  <c:v>2012</c:v>
                </c:pt>
                <c:pt idx="22">
                  <c:v>2013</c:v>
                </c:pt>
              </c:numCache>
            </c:numRef>
          </c:cat>
          <c:val>
            <c:numRef>
              <c:f>Hoja1!$B$2:$B$24</c:f>
              <c:numCache>
                <c:formatCode>General</c:formatCode>
                <c:ptCount val="23"/>
                <c:pt idx="0">
                  <c:v>2.1</c:v>
                </c:pt>
                <c:pt idx="1">
                  <c:v>2.1</c:v>
                </c:pt>
                <c:pt idx="2">
                  <c:v>2.1</c:v>
                </c:pt>
                <c:pt idx="3">
                  <c:v>2.1</c:v>
                </c:pt>
                <c:pt idx="4">
                  <c:v>2.1</c:v>
                </c:pt>
                <c:pt idx="5">
                  <c:v>2.1</c:v>
                </c:pt>
                <c:pt idx="6">
                  <c:v>2.1</c:v>
                </c:pt>
                <c:pt idx="7">
                  <c:v>2.1</c:v>
                </c:pt>
                <c:pt idx="8">
                  <c:v>2.1</c:v>
                </c:pt>
                <c:pt idx="9">
                  <c:v>2.1</c:v>
                </c:pt>
                <c:pt idx="10">
                  <c:v>2.1</c:v>
                </c:pt>
                <c:pt idx="11">
                  <c:v>2.1</c:v>
                </c:pt>
                <c:pt idx="12">
                  <c:v>2.1</c:v>
                </c:pt>
                <c:pt idx="13">
                  <c:v>2.1</c:v>
                </c:pt>
                <c:pt idx="14">
                  <c:v>2.1</c:v>
                </c:pt>
                <c:pt idx="15">
                  <c:v>2.1</c:v>
                </c:pt>
                <c:pt idx="16">
                  <c:v>2.1</c:v>
                </c:pt>
                <c:pt idx="17">
                  <c:v>2.1</c:v>
                </c:pt>
                <c:pt idx="18">
                  <c:v>2.1</c:v>
                </c:pt>
                <c:pt idx="19">
                  <c:v>2.1</c:v>
                </c:pt>
                <c:pt idx="20">
                  <c:v>2.1</c:v>
                </c:pt>
                <c:pt idx="21">
                  <c:v>2.1</c:v>
                </c:pt>
                <c:pt idx="22">
                  <c:v>2.1</c:v>
                </c:pt>
              </c:numCache>
            </c:numRef>
          </c:val>
        </c:ser>
        <c:ser>
          <c:idx val="1"/>
          <c:order val="1"/>
          <c:tx>
            <c:strRef>
              <c:f>Hoja1!$C$1</c:f>
              <c:strCache>
                <c:ptCount val="1"/>
                <c:pt idx="0">
                  <c:v>Región de Murcia</c:v>
                </c:pt>
              </c:strCache>
            </c:strRef>
          </c:tx>
          <c:marker>
            <c:symbol val="none"/>
          </c:marker>
          <c:cat>
            <c:numRef>
              <c:f>Hoja1!$A$2:$A$24</c:f>
              <c:numCache>
                <c:formatCode>General</c:formatCode>
                <c:ptCount val="23"/>
                <c:pt idx="0">
                  <c:v>1991</c:v>
                </c:pt>
                <c:pt idx="1">
                  <c:v>1992</c:v>
                </c:pt>
                <c:pt idx="2">
                  <c:v>1993</c:v>
                </c:pt>
                <c:pt idx="3">
                  <c:v>1994</c:v>
                </c:pt>
                <c:pt idx="4">
                  <c:v>1995</c:v>
                </c:pt>
                <c:pt idx="5">
                  <c:v>1996</c:v>
                </c:pt>
                <c:pt idx="6">
                  <c:v>1997</c:v>
                </c:pt>
                <c:pt idx="7">
                  <c:v>1998</c:v>
                </c:pt>
                <c:pt idx="8">
                  <c:v>1999</c:v>
                </c:pt>
                <c:pt idx="9">
                  <c:v>2000</c:v>
                </c:pt>
                <c:pt idx="10">
                  <c:v>2001</c:v>
                </c:pt>
                <c:pt idx="11">
                  <c:v>2002</c:v>
                </c:pt>
                <c:pt idx="12">
                  <c:v>2003</c:v>
                </c:pt>
                <c:pt idx="13">
                  <c:v>2004</c:v>
                </c:pt>
                <c:pt idx="14">
                  <c:v>2005</c:v>
                </c:pt>
                <c:pt idx="15">
                  <c:v>2006</c:v>
                </c:pt>
                <c:pt idx="16">
                  <c:v>2007</c:v>
                </c:pt>
                <c:pt idx="17">
                  <c:v>2008</c:v>
                </c:pt>
                <c:pt idx="18">
                  <c:v>2009</c:v>
                </c:pt>
                <c:pt idx="19">
                  <c:v>2010</c:v>
                </c:pt>
                <c:pt idx="20">
                  <c:v>2011</c:v>
                </c:pt>
                <c:pt idx="21">
                  <c:v>2012</c:v>
                </c:pt>
                <c:pt idx="22">
                  <c:v>2013</c:v>
                </c:pt>
              </c:numCache>
            </c:numRef>
          </c:cat>
          <c:val>
            <c:numRef>
              <c:f>Hoja1!$C$2:$C$24</c:f>
              <c:numCache>
                <c:formatCode>General</c:formatCode>
                <c:ptCount val="23"/>
                <c:pt idx="0">
                  <c:v>1.6800000000000033</c:v>
                </c:pt>
                <c:pt idx="1">
                  <c:v>1.6400000000000001</c:v>
                </c:pt>
                <c:pt idx="2">
                  <c:v>1.56</c:v>
                </c:pt>
                <c:pt idx="3">
                  <c:v>1.43</c:v>
                </c:pt>
                <c:pt idx="4">
                  <c:v>1.41</c:v>
                </c:pt>
                <c:pt idx="5">
                  <c:v>1.4</c:v>
                </c:pt>
                <c:pt idx="6">
                  <c:v>1.41</c:v>
                </c:pt>
                <c:pt idx="7">
                  <c:v>1.37</c:v>
                </c:pt>
                <c:pt idx="8">
                  <c:v>1.3800000000000001</c:v>
                </c:pt>
                <c:pt idx="9">
                  <c:v>1.47</c:v>
                </c:pt>
                <c:pt idx="10">
                  <c:v>1.52</c:v>
                </c:pt>
                <c:pt idx="11">
                  <c:v>1.51</c:v>
                </c:pt>
                <c:pt idx="12">
                  <c:v>1.57</c:v>
                </c:pt>
                <c:pt idx="13">
                  <c:v>1.56</c:v>
                </c:pt>
                <c:pt idx="14">
                  <c:v>1.58</c:v>
                </c:pt>
                <c:pt idx="15">
                  <c:v>1.6300000000000001</c:v>
                </c:pt>
                <c:pt idx="16">
                  <c:v>1.6400000000000001</c:v>
                </c:pt>
                <c:pt idx="17">
                  <c:v>1.6900000000000033</c:v>
                </c:pt>
                <c:pt idx="18">
                  <c:v>1.62</c:v>
                </c:pt>
                <c:pt idx="19">
                  <c:v>1.59</c:v>
                </c:pt>
                <c:pt idx="20">
                  <c:v>1.56</c:v>
                </c:pt>
                <c:pt idx="21">
                  <c:v>1.53</c:v>
                </c:pt>
                <c:pt idx="22" formatCode="0.00">
                  <c:v>1.5056419999999964</c:v>
                </c:pt>
              </c:numCache>
            </c:numRef>
          </c:val>
        </c:ser>
        <c:ser>
          <c:idx val="2"/>
          <c:order val="2"/>
          <c:tx>
            <c:strRef>
              <c:f>Hoja1!$D$1</c:f>
              <c:strCache>
                <c:ptCount val="1"/>
                <c:pt idx="0">
                  <c:v>Total Nacional</c:v>
                </c:pt>
              </c:strCache>
            </c:strRef>
          </c:tx>
          <c:marker>
            <c:symbol val="none"/>
          </c:marker>
          <c:cat>
            <c:numRef>
              <c:f>Hoja1!$A$2:$A$24</c:f>
              <c:numCache>
                <c:formatCode>General</c:formatCode>
                <c:ptCount val="23"/>
                <c:pt idx="0">
                  <c:v>1991</c:v>
                </c:pt>
                <c:pt idx="1">
                  <c:v>1992</c:v>
                </c:pt>
                <c:pt idx="2">
                  <c:v>1993</c:v>
                </c:pt>
                <c:pt idx="3">
                  <c:v>1994</c:v>
                </c:pt>
                <c:pt idx="4">
                  <c:v>1995</c:v>
                </c:pt>
                <c:pt idx="5">
                  <c:v>1996</c:v>
                </c:pt>
                <c:pt idx="6">
                  <c:v>1997</c:v>
                </c:pt>
                <c:pt idx="7">
                  <c:v>1998</c:v>
                </c:pt>
                <c:pt idx="8">
                  <c:v>1999</c:v>
                </c:pt>
                <c:pt idx="9">
                  <c:v>2000</c:v>
                </c:pt>
                <c:pt idx="10">
                  <c:v>2001</c:v>
                </c:pt>
                <c:pt idx="11">
                  <c:v>2002</c:v>
                </c:pt>
                <c:pt idx="12">
                  <c:v>2003</c:v>
                </c:pt>
                <c:pt idx="13">
                  <c:v>2004</c:v>
                </c:pt>
                <c:pt idx="14">
                  <c:v>2005</c:v>
                </c:pt>
                <c:pt idx="15">
                  <c:v>2006</c:v>
                </c:pt>
                <c:pt idx="16">
                  <c:v>2007</c:v>
                </c:pt>
                <c:pt idx="17">
                  <c:v>2008</c:v>
                </c:pt>
                <c:pt idx="18">
                  <c:v>2009</c:v>
                </c:pt>
                <c:pt idx="19">
                  <c:v>2010</c:v>
                </c:pt>
                <c:pt idx="20">
                  <c:v>2011</c:v>
                </c:pt>
                <c:pt idx="21">
                  <c:v>2012</c:v>
                </c:pt>
                <c:pt idx="22">
                  <c:v>2013</c:v>
                </c:pt>
              </c:numCache>
            </c:numRef>
          </c:cat>
          <c:val>
            <c:numRef>
              <c:f>Hoja1!$D$2:$D$24</c:f>
              <c:numCache>
                <c:formatCode>General</c:formatCode>
                <c:ptCount val="23"/>
                <c:pt idx="0">
                  <c:v>1.33</c:v>
                </c:pt>
                <c:pt idx="1">
                  <c:v>1.32</c:v>
                </c:pt>
                <c:pt idx="2">
                  <c:v>1.27</c:v>
                </c:pt>
                <c:pt idx="3">
                  <c:v>1.2</c:v>
                </c:pt>
                <c:pt idx="4">
                  <c:v>1.1700000000000021</c:v>
                </c:pt>
                <c:pt idx="5">
                  <c:v>1.1599999999999964</c:v>
                </c:pt>
                <c:pt idx="6">
                  <c:v>1.1700000000000021</c:v>
                </c:pt>
                <c:pt idx="7">
                  <c:v>1.1499999999999964</c:v>
                </c:pt>
                <c:pt idx="8">
                  <c:v>1.1900000000000033</c:v>
                </c:pt>
                <c:pt idx="9">
                  <c:v>1.23</c:v>
                </c:pt>
                <c:pt idx="10">
                  <c:v>1.24</c:v>
                </c:pt>
                <c:pt idx="11">
                  <c:v>1.25</c:v>
                </c:pt>
                <c:pt idx="12">
                  <c:v>1.3</c:v>
                </c:pt>
                <c:pt idx="13">
                  <c:v>1.32</c:v>
                </c:pt>
                <c:pt idx="14">
                  <c:v>1.33</c:v>
                </c:pt>
                <c:pt idx="15">
                  <c:v>1.36</c:v>
                </c:pt>
                <c:pt idx="16">
                  <c:v>1.3800000000000001</c:v>
                </c:pt>
                <c:pt idx="17">
                  <c:v>1.44</c:v>
                </c:pt>
                <c:pt idx="18">
                  <c:v>1.3800000000000001</c:v>
                </c:pt>
                <c:pt idx="19">
                  <c:v>1.37</c:v>
                </c:pt>
                <c:pt idx="20">
                  <c:v>1.34</c:v>
                </c:pt>
                <c:pt idx="21">
                  <c:v>1.32</c:v>
                </c:pt>
                <c:pt idx="22" formatCode="0.00">
                  <c:v>1.274408</c:v>
                </c:pt>
              </c:numCache>
            </c:numRef>
          </c:val>
        </c:ser>
        <c:marker val="1"/>
        <c:axId val="83560704"/>
        <c:axId val="83823232"/>
      </c:lineChart>
      <c:catAx>
        <c:axId val="83560704"/>
        <c:scaling>
          <c:orientation val="minMax"/>
        </c:scaling>
        <c:axPos val="b"/>
        <c:numFmt formatCode="General" sourceLinked="1"/>
        <c:tickLblPos val="nextTo"/>
        <c:txPr>
          <a:bodyPr rot="-5400000" vert="horz"/>
          <a:lstStyle/>
          <a:p>
            <a:pPr>
              <a:defRPr sz="900"/>
            </a:pPr>
            <a:endParaRPr lang="es-ES"/>
          </a:p>
        </c:txPr>
        <c:crossAx val="83823232"/>
        <c:crosses val="autoZero"/>
        <c:auto val="1"/>
        <c:lblAlgn val="ctr"/>
        <c:lblOffset val="100"/>
      </c:catAx>
      <c:valAx>
        <c:axId val="83823232"/>
        <c:scaling>
          <c:orientation val="minMax"/>
          <c:max val="2.5"/>
          <c:min val="1"/>
        </c:scaling>
        <c:axPos val="l"/>
        <c:majorGridlines/>
        <c:numFmt formatCode="General" sourceLinked="1"/>
        <c:tickLblPos val="nextTo"/>
        <c:crossAx val="83560704"/>
        <c:crosses val="autoZero"/>
        <c:crossBetween val="between"/>
        <c:majorUnit val="0.5"/>
      </c:valAx>
    </c:plotArea>
    <c:legend>
      <c:legendPos val="r"/>
      <c:layout>
        <c:manualLayout>
          <c:xMode val="edge"/>
          <c:yMode val="edge"/>
          <c:x val="0.16308424020111448"/>
          <c:y val="0.91073034303979561"/>
          <c:w val="0.72706242320802805"/>
          <c:h val="6.2450712648260784E-2"/>
        </c:manualLayout>
      </c:layout>
    </c:legend>
    <c:plotVisOnly val="1"/>
  </c:chart>
  <c:spPr>
    <a:ln>
      <a:noFill/>
    </a:ln>
  </c:spPr>
  <c:txPr>
    <a:bodyPr/>
    <a:lstStyle/>
    <a:p>
      <a:pPr>
        <a:defRPr sz="1000">
          <a:latin typeface="Times New Roman" pitchFamily="18" charset="0"/>
          <a:cs typeface="Times New Roman" pitchFamily="18" charset="0"/>
        </a:defRPr>
      </a:pPr>
      <a:endParaRPr lang="es-ES"/>
    </a:p>
  </c:txPr>
  <c:externalData r:id="rId1"/>
</c:chartSpace>
</file>

<file path=word/charts/chart6.xml><?xml version="1.0" encoding="utf-8"?>
<c:chartSpace xmlns:c="http://schemas.openxmlformats.org/drawingml/2006/chart" xmlns:a="http://schemas.openxmlformats.org/drawingml/2006/main" xmlns:r="http://schemas.openxmlformats.org/officeDocument/2006/relationships">
  <c:date1904 val="1"/>
  <c:lang val="es-ES"/>
  <c:chart>
    <c:plotArea>
      <c:layout>
        <c:manualLayout>
          <c:layoutTarget val="inner"/>
          <c:xMode val="edge"/>
          <c:yMode val="edge"/>
          <c:x val="0.11277187023385229"/>
          <c:y val="6.5777777777777782E-2"/>
          <c:w val="0.85152901106696011"/>
          <c:h val="0.88424006999121085"/>
        </c:manualLayout>
      </c:layout>
      <c:barChart>
        <c:barDir val="bar"/>
        <c:grouping val="clustered"/>
        <c:ser>
          <c:idx val="0"/>
          <c:order val="0"/>
          <c:tx>
            <c:strRef>
              <c:f>Hoja1!$B$1</c:f>
              <c:strCache>
                <c:ptCount val="1"/>
                <c:pt idx="0">
                  <c:v>65-69</c:v>
                </c:pt>
              </c:strCache>
            </c:strRef>
          </c:tx>
          <c:cat>
            <c:numRef>
              <c:f>Hoja1!$A$2:$A$15</c:f>
              <c:numCache>
                <c:formatCode>General</c:formatCode>
                <c:ptCount val="14"/>
                <c:pt idx="0">
                  <c:v>2013</c:v>
                </c:pt>
                <c:pt idx="1">
                  <c:v>2012</c:v>
                </c:pt>
                <c:pt idx="2">
                  <c:v>2011</c:v>
                </c:pt>
                <c:pt idx="3">
                  <c:v>2010</c:v>
                </c:pt>
                <c:pt idx="4">
                  <c:v>2009</c:v>
                </c:pt>
                <c:pt idx="5">
                  <c:v>2008</c:v>
                </c:pt>
                <c:pt idx="6">
                  <c:v>2007</c:v>
                </c:pt>
                <c:pt idx="7">
                  <c:v>2006</c:v>
                </c:pt>
                <c:pt idx="8">
                  <c:v>2005</c:v>
                </c:pt>
                <c:pt idx="9">
                  <c:v>2004</c:v>
                </c:pt>
                <c:pt idx="10">
                  <c:v>2003</c:v>
                </c:pt>
                <c:pt idx="11">
                  <c:v>2002</c:v>
                </c:pt>
                <c:pt idx="12">
                  <c:v>2001</c:v>
                </c:pt>
                <c:pt idx="13">
                  <c:v>2000</c:v>
                </c:pt>
              </c:numCache>
            </c:numRef>
          </c:cat>
          <c:val>
            <c:numRef>
              <c:f>Hoja1!$B$2:$B$15</c:f>
              <c:numCache>
                <c:formatCode>General</c:formatCode>
                <c:ptCount val="14"/>
                <c:pt idx="0">
                  <c:v>111.1</c:v>
                </c:pt>
                <c:pt idx="1">
                  <c:v>106.9</c:v>
                </c:pt>
                <c:pt idx="2">
                  <c:v>102.3</c:v>
                </c:pt>
                <c:pt idx="3">
                  <c:v>101.3</c:v>
                </c:pt>
                <c:pt idx="4">
                  <c:v>94.5</c:v>
                </c:pt>
                <c:pt idx="5">
                  <c:v>93.7</c:v>
                </c:pt>
                <c:pt idx="6">
                  <c:v>94.6</c:v>
                </c:pt>
                <c:pt idx="7">
                  <c:v>96.8</c:v>
                </c:pt>
                <c:pt idx="8">
                  <c:v>93.2</c:v>
                </c:pt>
                <c:pt idx="9">
                  <c:v>98.3</c:v>
                </c:pt>
                <c:pt idx="10">
                  <c:v>99.2</c:v>
                </c:pt>
                <c:pt idx="11">
                  <c:v>99.6</c:v>
                </c:pt>
                <c:pt idx="12">
                  <c:v>99.1</c:v>
                </c:pt>
                <c:pt idx="13">
                  <c:v>100</c:v>
                </c:pt>
              </c:numCache>
            </c:numRef>
          </c:val>
        </c:ser>
        <c:ser>
          <c:idx val="1"/>
          <c:order val="1"/>
          <c:tx>
            <c:strRef>
              <c:f>Hoja1!$C$1</c:f>
              <c:strCache>
                <c:ptCount val="1"/>
                <c:pt idx="0">
                  <c:v>70-74</c:v>
                </c:pt>
              </c:strCache>
            </c:strRef>
          </c:tx>
          <c:cat>
            <c:numRef>
              <c:f>Hoja1!$A$2:$A$15</c:f>
              <c:numCache>
                <c:formatCode>General</c:formatCode>
                <c:ptCount val="14"/>
                <c:pt idx="0">
                  <c:v>2013</c:v>
                </c:pt>
                <c:pt idx="1">
                  <c:v>2012</c:v>
                </c:pt>
                <c:pt idx="2">
                  <c:v>2011</c:v>
                </c:pt>
                <c:pt idx="3">
                  <c:v>2010</c:v>
                </c:pt>
                <c:pt idx="4">
                  <c:v>2009</c:v>
                </c:pt>
                <c:pt idx="5">
                  <c:v>2008</c:v>
                </c:pt>
                <c:pt idx="6">
                  <c:v>2007</c:v>
                </c:pt>
                <c:pt idx="7">
                  <c:v>2006</c:v>
                </c:pt>
                <c:pt idx="8">
                  <c:v>2005</c:v>
                </c:pt>
                <c:pt idx="9">
                  <c:v>2004</c:v>
                </c:pt>
                <c:pt idx="10">
                  <c:v>2003</c:v>
                </c:pt>
                <c:pt idx="11">
                  <c:v>2002</c:v>
                </c:pt>
                <c:pt idx="12">
                  <c:v>2001</c:v>
                </c:pt>
                <c:pt idx="13">
                  <c:v>2000</c:v>
                </c:pt>
              </c:numCache>
            </c:numRef>
          </c:cat>
          <c:val>
            <c:numRef>
              <c:f>Hoja1!$C$2:$C$15</c:f>
              <c:numCache>
                <c:formatCode>General</c:formatCode>
                <c:ptCount val="14"/>
                <c:pt idx="0">
                  <c:v>103.4</c:v>
                </c:pt>
                <c:pt idx="1">
                  <c:v>105.4</c:v>
                </c:pt>
                <c:pt idx="2">
                  <c:v>107.8</c:v>
                </c:pt>
                <c:pt idx="3">
                  <c:v>103.8</c:v>
                </c:pt>
                <c:pt idx="4">
                  <c:v>109.8</c:v>
                </c:pt>
                <c:pt idx="5">
                  <c:v>110.7</c:v>
                </c:pt>
                <c:pt idx="6">
                  <c:v>111.2</c:v>
                </c:pt>
                <c:pt idx="7">
                  <c:v>110.3</c:v>
                </c:pt>
                <c:pt idx="8">
                  <c:v>110.8</c:v>
                </c:pt>
                <c:pt idx="9">
                  <c:v>109</c:v>
                </c:pt>
                <c:pt idx="10">
                  <c:v>107.6</c:v>
                </c:pt>
                <c:pt idx="11">
                  <c:v>104.4</c:v>
                </c:pt>
                <c:pt idx="12">
                  <c:v>103.2</c:v>
                </c:pt>
                <c:pt idx="13">
                  <c:v>100</c:v>
                </c:pt>
              </c:numCache>
            </c:numRef>
          </c:val>
        </c:ser>
        <c:ser>
          <c:idx val="2"/>
          <c:order val="2"/>
          <c:tx>
            <c:strRef>
              <c:f>Hoja1!$D$1</c:f>
              <c:strCache>
                <c:ptCount val="1"/>
                <c:pt idx="0">
                  <c:v>75-79</c:v>
                </c:pt>
              </c:strCache>
            </c:strRef>
          </c:tx>
          <c:cat>
            <c:numRef>
              <c:f>Hoja1!$A$2:$A$15</c:f>
              <c:numCache>
                <c:formatCode>General</c:formatCode>
                <c:ptCount val="14"/>
                <c:pt idx="0">
                  <c:v>2013</c:v>
                </c:pt>
                <c:pt idx="1">
                  <c:v>2012</c:v>
                </c:pt>
                <c:pt idx="2">
                  <c:v>2011</c:v>
                </c:pt>
                <c:pt idx="3">
                  <c:v>2010</c:v>
                </c:pt>
                <c:pt idx="4">
                  <c:v>2009</c:v>
                </c:pt>
                <c:pt idx="5">
                  <c:v>2008</c:v>
                </c:pt>
                <c:pt idx="6">
                  <c:v>2007</c:v>
                </c:pt>
                <c:pt idx="7">
                  <c:v>2006</c:v>
                </c:pt>
                <c:pt idx="8">
                  <c:v>2005</c:v>
                </c:pt>
                <c:pt idx="9">
                  <c:v>2004</c:v>
                </c:pt>
                <c:pt idx="10">
                  <c:v>2003</c:v>
                </c:pt>
                <c:pt idx="11">
                  <c:v>2002</c:v>
                </c:pt>
                <c:pt idx="12">
                  <c:v>2001</c:v>
                </c:pt>
                <c:pt idx="13">
                  <c:v>2000</c:v>
                </c:pt>
              </c:numCache>
            </c:numRef>
          </c:cat>
          <c:val>
            <c:numRef>
              <c:f>Hoja1!$D$2:$D$15</c:f>
              <c:numCache>
                <c:formatCode>General</c:formatCode>
                <c:ptCount val="14"/>
                <c:pt idx="0">
                  <c:v>135.9</c:v>
                </c:pt>
                <c:pt idx="1">
                  <c:v>136.6</c:v>
                </c:pt>
                <c:pt idx="2">
                  <c:v>135</c:v>
                </c:pt>
                <c:pt idx="3">
                  <c:v>135.5</c:v>
                </c:pt>
                <c:pt idx="4">
                  <c:v>133.69999999999999</c:v>
                </c:pt>
                <c:pt idx="5">
                  <c:v>131.19999999999999</c:v>
                </c:pt>
                <c:pt idx="6">
                  <c:v>127.4</c:v>
                </c:pt>
                <c:pt idx="7">
                  <c:v>125.8</c:v>
                </c:pt>
                <c:pt idx="8">
                  <c:v>121.4</c:v>
                </c:pt>
                <c:pt idx="9">
                  <c:v>119.4</c:v>
                </c:pt>
                <c:pt idx="10">
                  <c:v>113.7</c:v>
                </c:pt>
                <c:pt idx="11">
                  <c:v>111.8</c:v>
                </c:pt>
                <c:pt idx="12">
                  <c:v>106.4</c:v>
                </c:pt>
                <c:pt idx="13">
                  <c:v>100</c:v>
                </c:pt>
              </c:numCache>
            </c:numRef>
          </c:val>
        </c:ser>
        <c:ser>
          <c:idx val="3"/>
          <c:order val="3"/>
          <c:tx>
            <c:strRef>
              <c:f>Hoja1!$E$1</c:f>
              <c:strCache>
                <c:ptCount val="1"/>
                <c:pt idx="0">
                  <c:v>&gt;80</c:v>
                </c:pt>
              </c:strCache>
            </c:strRef>
          </c:tx>
          <c:cat>
            <c:numRef>
              <c:f>Hoja1!$A$2:$A$15</c:f>
              <c:numCache>
                <c:formatCode>General</c:formatCode>
                <c:ptCount val="14"/>
                <c:pt idx="0">
                  <c:v>2013</c:v>
                </c:pt>
                <c:pt idx="1">
                  <c:v>2012</c:v>
                </c:pt>
                <c:pt idx="2">
                  <c:v>2011</c:v>
                </c:pt>
                <c:pt idx="3">
                  <c:v>2010</c:v>
                </c:pt>
                <c:pt idx="4">
                  <c:v>2009</c:v>
                </c:pt>
                <c:pt idx="5">
                  <c:v>2008</c:v>
                </c:pt>
                <c:pt idx="6">
                  <c:v>2007</c:v>
                </c:pt>
                <c:pt idx="7">
                  <c:v>2006</c:v>
                </c:pt>
                <c:pt idx="8">
                  <c:v>2005</c:v>
                </c:pt>
                <c:pt idx="9">
                  <c:v>2004</c:v>
                </c:pt>
                <c:pt idx="10">
                  <c:v>2003</c:v>
                </c:pt>
                <c:pt idx="11">
                  <c:v>2002</c:v>
                </c:pt>
                <c:pt idx="12">
                  <c:v>2001</c:v>
                </c:pt>
                <c:pt idx="13">
                  <c:v>2000</c:v>
                </c:pt>
              </c:numCache>
            </c:numRef>
          </c:cat>
          <c:val>
            <c:numRef>
              <c:f>Hoja1!$E$2:$E$15</c:f>
              <c:numCache>
                <c:formatCode>General</c:formatCode>
                <c:ptCount val="14"/>
                <c:pt idx="0">
                  <c:v>185.2</c:v>
                </c:pt>
                <c:pt idx="1">
                  <c:v>179.3</c:v>
                </c:pt>
                <c:pt idx="2">
                  <c:v>172.2</c:v>
                </c:pt>
                <c:pt idx="3">
                  <c:v>162.80000000000001</c:v>
                </c:pt>
                <c:pt idx="4">
                  <c:v>155.9</c:v>
                </c:pt>
                <c:pt idx="5">
                  <c:v>148</c:v>
                </c:pt>
                <c:pt idx="6">
                  <c:v>141.80000000000001</c:v>
                </c:pt>
                <c:pt idx="7">
                  <c:v>133.9</c:v>
                </c:pt>
                <c:pt idx="8">
                  <c:v>127.3</c:v>
                </c:pt>
                <c:pt idx="9">
                  <c:v>119.9</c:v>
                </c:pt>
                <c:pt idx="10">
                  <c:v>115.4</c:v>
                </c:pt>
                <c:pt idx="11">
                  <c:v>108.4</c:v>
                </c:pt>
                <c:pt idx="12">
                  <c:v>103.8</c:v>
                </c:pt>
                <c:pt idx="13">
                  <c:v>100</c:v>
                </c:pt>
              </c:numCache>
            </c:numRef>
          </c:val>
        </c:ser>
        <c:axId val="97616256"/>
        <c:axId val="97618176"/>
      </c:barChart>
      <c:catAx>
        <c:axId val="97616256"/>
        <c:scaling>
          <c:orientation val="minMax"/>
        </c:scaling>
        <c:axPos val="l"/>
        <c:numFmt formatCode="General" sourceLinked="1"/>
        <c:tickLblPos val="nextTo"/>
        <c:txPr>
          <a:bodyPr/>
          <a:lstStyle/>
          <a:p>
            <a:pPr>
              <a:defRPr sz="800"/>
            </a:pPr>
            <a:endParaRPr lang="es-ES"/>
          </a:p>
        </c:txPr>
        <c:crossAx val="97618176"/>
        <c:crosses val="autoZero"/>
        <c:auto val="1"/>
        <c:lblAlgn val="ctr"/>
        <c:lblOffset val="100"/>
      </c:catAx>
      <c:valAx>
        <c:axId val="97618176"/>
        <c:scaling>
          <c:orientation val="minMax"/>
        </c:scaling>
        <c:axPos val="b"/>
        <c:majorGridlines/>
        <c:numFmt formatCode="General" sourceLinked="1"/>
        <c:tickLblPos val="nextTo"/>
        <c:txPr>
          <a:bodyPr/>
          <a:lstStyle/>
          <a:p>
            <a:pPr>
              <a:defRPr sz="800"/>
            </a:pPr>
            <a:endParaRPr lang="es-ES"/>
          </a:p>
        </c:txPr>
        <c:crossAx val="97616256"/>
        <c:crosses val="autoZero"/>
        <c:crossBetween val="between"/>
      </c:valAx>
    </c:plotArea>
    <c:legend>
      <c:legendPos val="r"/>
      <c:layout>
        <c:manualLayout>
          <c:xMode val="edge"/>
          <c:yMode val="edge"/>
          <c:x val="0.16038190878314118"/>
          <c:y val="1.2426814658570803E-2"/>
          <c:w val="0.68048974856403854"/>
          <c:h val="3.8520944881889792E-2"/>
        </c:manualLayout>
      </c:layout>
      <c:txPr>
        <a:bodyPr/>
        <a:lstStyle/>
        <a:p>
          <a:pPr>
            <a:defRPr sz="800"/>
          </a:pPr>
          <a:endParaRPr lang="es-ES"/>
        </a:p>
      </c:txPr>
    </c:legend>
    <c:plotVisOnly val="1"/>
  </c:chart>
  <c:spPr>
    <a:ln>
      <a:noFill/>
    </a:ln>
  </c:spPr>
  <c:txPr>
    <a:bodyPr/>
    <a:lstStyle/>
    <a:p>
      <a:pPr>
        <a:defRPr sz="1100">
          <a:latin typeface="Arial" pitchFamily="34" charset="0"/>
          <a:cs typeface="Arial" pitchFamily="34" charset="0"/>
        </a:defRPr>
      </a:pPr>
      <a:endParaRPr lang="es-ES"/>
    </a:p>
  </c:txPr>
  <c:externalData r:id="rId1"/>
</c:chartSpace>
</file>

<file path=word/charts/chart7.xml><?xml version="1.0" encoding="utf-8"?>
<c:chartSpace xmlns:c="http://schemas.openxmlformats.org/drawingml/2006/chart" xmlns:a="http://schemas.openxmlformats.org/drawingml/2006/main" xmlns:r="http://schemas.openxmlformats.org/officeDocument/2006/relationships">
  <c:date1904 val="1"/>
  <c:lang val="es-ES"/>
  <c:chart>
    <c:autoTitleDeleted val="1"/>
    <c:plotArea>
      <c:layout>
        <c:manualLayout>
          <c:layoutTarget val="inner"/>
          <c:xMode val="edge"/>
          <c:yMode val="edge"/>
          <c:x val="0.18049427365883094"/>
          <c:y val="3.7606837606837612E-2"/>
          <c:w val="0.75242309901135751"/>
          <c:h val="0.80063629426513383"/>
        </c:manualLayout>
      </c:layout>
      <c:barChart>
        <c:barDir val="bar"/>
        <c:grouping val="stacked"/>
        <c:ser>
          <c:idx val="0"/>
          <c:order val="0"/>
          <c:tx>
            <c:strRef>
              <c:f>Hoja1!$B$1</c:f>
              <c:strCache>
                <c:ptCount val="1"/>
                <c:pt idx="0">
                  <c:v>Hombres</c:v>
                </c:pt>
              </c:strCache>
            </c:strRef>
          </c:tx>
          <c:spPr>
            <a:solidFill>
              <a:srgbClr val="92B1D6"/>
            </a:solidFill>
            <a:ln w="19050">
              <a:solidFill>
                <a:sysClr val="windowText" lastClr="000000"/>
              </a:solidFill>
            </a:ln>
          </c:spPr>
          <c:cat>
            <c:strRef>
              <c:f>Hoja1!$A$2:$A$19</c:f>
              <c:strCache>
                <c:ptCount val="18"/>
                <c:pt idx="0">
                  <c:v> 0-4 </c:v>
                </c:pt>
                <c:pt idx="1">
                  <c:v> 5-9 </c:v>
                </c:pt>
                <c:pt idx="2">
                  <c:v> 10-14 </c:v>
                </c:pt>
                <c:pt idx="3">
                  <c:v> 15-19 </c:v>
                </c:pt>
                <c:pt idx="4">
                  <c:v> 20-24 </c:v>
                </c:pt>
                <c:pt idx="5">
                  <c:v> 25-29 </c:v>
                </c:pt>
                <c:pt idx="6">
                  <c:v> 30-34 </c:v>
                </c:pt>
                <c:pt idx="7">
                  <c:v> 35-39 </c:v>
                </c:pt>
                <c:pt idx="8">
                  <c:v> 40-44 </c:v>
                </c:pt>
                <c:pt idx="9">
                  <c:v> 45-49 </c:v>
                </c:pt>
                <c:pt idx="10">
                  <c:v> 50-54 </c:v>
                </c:pt>
                <c:pt idx="11">
                  <c:v> 55-59 </c:v>
                </c:pt>
                <c:pt idx="12">
                  <c:v> 60-64 </c:v>
                </c:pt>
                <c:pt idx="13">
                  <c:v> 65-69 </c:v>
                </c:pt>
                <c:pt idx="14">
                  <c:v> 70-74 </c:v>
                </c:pt>
                <c:pt idx="15">
                  <c:v> 75-79 </c:v>
                </c:pt>
                <c:pt idx="16">
                  <c:v> 80-84 </c:v>
                </c:pt>
                <c:pt idx="17">
                  <c:v> 85 y más </c:v>
                </c:pt>
              </c:strCache>
            </c:strRef>
          </c:cat>
          <c:val>
            <c:numRef>
              <c:f>Hoja1!$B$2:$B$19</c:f>
              <c:numCache>
                <c:formatCode>#,##0</c:formatCode>
                <c:ptCount val="18"/>
                <c:pt idx="0">
                  <c:v>-47208</c:v>
                </c:pt>
                <c:pt idx="1">
                  <c:v>-47376</c:v>
                </c:pt>
                <c:pt idx="2">
                  <c:v>-48308</c:v>
                </c:pt>
                <c:pt idx="3">
                  <c:v>-44456</c:v>
                </c:pt>
                <c:pt idx="4">
                  <c:v>-37723</c:v>
                </c:pt>
                <c:pt idx="5">
                  <c:v>-29948</c:v>
                </c:pt>
                <c:pt idx="6">
                  <c:v>-28032</c:v>
                </c:pt>
                <c:pt idx="7">
                  <c:v>-25379</c:v>
                </c:pt>
                <c:pt idx="8">
                  <c:v>-25461</c:v>
                </c:pt>
                <c:pt idx="9">
                  <c:v>-28376</c:v>
                </c:pt>
                <c:pt idx="10">
                  <c:v>-27449</c:v>
                </c:pt>
                <c:pt idx="11">
                  <c:v>-24217</c:v>
                </c:pt>
                <c:pt idx="12">
                  <c:v>-15698</c:v>
                </c:pt>
                <c:pt idx="13">
                  <c:v>-13761</c:v>
                </c:pt>
                <c:pt idx="14">
                  <c:v>-11818</c:v>
                </c:pt>
                <c:pt idx="15">
                  <c:v>-7877</c:v>
                </c:pt>
                <c:pt idx="16">
                  <c:v>-4151</c:v>
                </c:pt>
                <c:pt idx="17">
                  <c:v>-2111</c:v>
                </c:pt>
              </c:numCache>
            </c:numRef>
          </c:val>
        </c:ser>
        <c:ser>
          <c:idx val="1"/>
          <c:order val="1"/>
          <c:tx>
            <c:strRef>
              <c:f>Hoja1!$C$1</c:f>
              <c:strCache>
                <c:ptCount val="1"/>
                <c:pt idx="0">
                  <c:v>Mujeres</c:v>
                </c:pt>
              </c:strCache>
            </c:strRef>
          </c:tx>
          <c:spPr>
            <a:solidFill>
              <a:srgbClr val="FF6969"/>
            </a:solidFill>
            <a:ln w="19050">
              <a:solidFill>
                <a:sysClr val="windowText" lastClr="000000"/>
              </a:solidFill>
            </a:ln>
          </c:spPr>
          <c:dPt>
            <c:idx val="2"/>
            <c:spPr>
              <a:solidFill>
                <a:srgbClr val="FF6969"/>
              </a:solidFill>
              <a:ln w="15875">
                <a:solidFill>
                  <a:sysClr val="windowText" lastClr="000000"/>
                </a:solidFill>
              </a:ln>
            </c:spPr>
          </c:dPt>
          <c:cat>
            <c:strRef>
              <c:f>Hoja1!$A$2:$A$19</c:f>
              <c:strCache>
                <c:ptCount val="18"/>
                <c:pt idx="0">
                  <c:v> 0-4 </c:v>
                </c:pt>
                <c:pt idx="1">
                  <c:v> 5-9 </c:v>
                </c:pt>
                <c:pt idx="2">
                  <c:v> 10-14 </c:v>
                </c:pt>
                <c:pt idx="3">
                  <c:v> 15-19 </c:v>
                </c:pt>
                <c:pt idx="4">
                  <c:v> 20-24 </c:v>
                </c:pt>
                <c:pt idx="5">
                  <c:v> 25-29 </c:v>
                </c:pt>
                <c:pt idx="6">
                  <c:v> 30-34 </c:v>
                </c:pt>
                <c:pt idx="7">
                  <c:v> 35-39 </c:v>
                </c:pt>
                <c:pt idx="8">
                  <c:v> 40-44 </c:v>
                </c:pt>
                <c:pt idx="9">
                  <c:v> 45-49 </c:v>
                </c:pt>
                <c:pt idx="10">
                  <c:v> 50-54 </c:v>
                </c:pt>
                <c:pt idx="11">
                  <c:v> 55-59 </c:v>
                </c:pt>
                <c:pt idx="12">
                  <c:v> 60-64 </c:v>
                </c:pt>
                <c:pt idx="13">
                  <c:v> 65-69 </c:v>
                </c:pt>
                <c:pt idx="14">
                  <c:v> 70-74 </c:v>
                </c:pt>
                <c:pt idx="15">
                  <c:v> 75-79 </c:v>
                </c:pt>
                <c:pt idx="16">
                  <c:v> 80-84 </c:v>
                </c:pt>
                <c:pt idx="17">
                  <c:v> 85 y más </c:v>
                </c:pt>
              </c:strCache>
            </c:strRef>
          </c:cat>
          <c:val>
            <c:numRef>
              <c:f>Hoja1!$C$2:$C$19</c:f>
              <c:numCache>
                <c:formatCode>#,##0</c:formatCode>
                <c:ptCount val="18"/>
                <c:pt idx="0">
                  <c:v>43254</c:v>
                </c:pt>
                <c:pt idx="1">
                  <c:v>45528</c:v>
                </c:pt>
                <c:pt idx="2">
                  <c:v>45251</c:v>
                </c:pt>
                <c:pt idx="3">
                  <c:v>43551</c:v>
                </c:pt>
                <c:pt idx="4">
                  <c:v>37042</c:v>
                </c:pt>
                <c:pt idx="5">
                  <c:v>30248</c:v>
                </c:pt>
                <c:pt idx="6">
                  <c:v>28692</c:v>
                </c:pt>
                <c:pt idx="7">
                  <c:v>25901</c:v>
                </c:pt>
                <c:pt idx="8">
                  <c:v>27019</c:v>
                </c:pt>
                <c:pt idx="9">
                  <c:v>28847</c:v>
                </c:pt>
                <c:pt idx="10">
                  <c:v>28955</c:v>
                </c:pt>
                <c:pt idx="11">
                  <c:v>24915</c:v>
                </c:pt>
                <c:pt idx="12">
                  <c:v>19103</c:v>
                </c:pt>
                <c:pt idx="13">
                  <c:v>17691</c:v>
                </c:pt>
                <c:pt idx="14">
                  <c:v>16041</c:v>
                </c:pt>
                <c:pt idx="15">
                  <c:v>12266</c:v>
                </c:pt>
                <c:pt idx="16">
                  <c:v>7396</c:v>
                </c:pt>
                <c:pt idx="17">
                  <c:v>4450</c:v>
                </c:pt>
              </c:numCache>
            </c:numRef>
          </c:val>
        </c:ser>
        <c:gapWidth val="0"/>
        <c:overlap val="100"/>
        <c:axId val="81781504"/>
        <c:axId val="81783424"/>
      </c:barChart>
      <c:catAx>
        <c:axId val="81781504"/>
        <c:scaling>
          <c:orientation val="minMax"/>
        </c:scaling>
        <c:axPos val="l"/>
        <c:title>
          <c:tx>
            <c:rich>
              <a:bodyPr rot="-5400000" vert="horz"/>
              <a:lstStyle/>
              <a:p>
                <a:pPr>
                  <a:defRPr>
                    <a:latin typeface="Arial" pitchFamily="34" charset="0"/>
                    <a:cs typeface="Arial" pitchFamily="34" charset="0"/>
                  </a:defRPr>
                </a:pPr>
                <a:r>
                  <a:rPr lang="es-ES">
                    <a:latin typeface="Arial" pitchFamily="34" charset="0"/>
                    <a:cs typeface="Arial" pitchFamily="34" charset="0"/>
                  </a:rPr>
                  <a:t>Grupos de edad</a:t>
                </a:r>
              </a:p>
            </c:rich>
          </c:tx>
          <c:layout>
            <c:manualLayout>
              <c:xMode val="edge"/>
              <c:yMode val="edge"/>
              <c:x val="2.0621169504620812E-2"/>
              <c:y val="0.27350196447705982"/>
            </c:manualLayout>
          </c:layout>
        </c:title>
        <c:majorTickMark val="none"/>
        <c:tickLblPos val="low"/>
        <c:txPr>
          <a:bodyPr/>
          <a:lstStyle/>
          <a:p>
            <a:pPr>
              <a:defRPr>
                <a:latin typeface="Arial" pitchFamily="34" charset="0"/>
                <a:cs typeface="Arial" pitchFamily="34" charset="0"/>
              </a:defRPr>
            </a:pPr>
            <a:endParaRPr lang="es-ES"/>
          </a:p>
        </c:txPr>
        <c:crossAx val="81783424"/>
        <c:crossesAt val="0"/>
        <c:auto val="1"/>
        <c:lblAlgn val="ctr"/>
        <c:lblOffset val="100"/>
      </c:catAx>
      <c:valAx>
        <c:axId val="81783424"/>
        <c:scaling>
          <c:orientation val="minMax"/>
        </c:scaling>
        <c:axPos val="b"/>
        <c:majorGridlines/>
        <c:numFmt formatCode="#,##0;#,##0" sourceLinked="0"/>
        <c:majorTickMark val="none"/>
        <c:tickLblPos val="nextTo"/>
        <c:spPr>
          <a:ln w="9525">
            <a:noFill/>
          </a:ln>
        </c:spPr>
        <c:crossAx val="81781504"/>
        <c:crosses val="autoZero"/>
        <c:crossBetween val="between"/>
      </c:valAx>
    </c:plotArea>
    <c:legend>
      <c:legendPos val="b"/>
      <c:layout>
        <c:manualLayout>
          <c:xMode val="edge"/>
          <c:yMode val="edge"/>
          <c:x val="0.3527055470851288"/>
          <c:y val="0.93441707965418064"/>
          <c:w val="0.41487719098405307"/>
          <c:h val="6.2109428629113714E-2"/>
        </c:manualLayout>
      </c:layout>
    </c:legend>
    <c:plotVisOnly val="1"/>
  </c:chart>
  <c:spPr>
    <a:ln>
      <a:solidFill>
        <a:schemeClr val="bg1"/>
      </a:solidFill>
    </a:ln>
  </c:spPr>
  <c:txPr>
    <a:bodyPr/>
    <a:lstStyle/>
    <a:p>
      <a:pPr>
        <a:defRPr sz="800">
          <a:latin typeface="Times New Roman" pitchFamily="18" charset="0"/>
          <a:cs typeface="Times New Roman" pitchFamily="18" charset="0"/>
        </a:defRPr>
      </a:pPr>
      <a:endParaRPr lang="es-ES"/>
    </a:p>
  </c:txPr>
  <c:externalData r:id="rId1"/>
</c:chartSpace>
</file>

<file path=word/charts/chart8.xml><?xml version="1.0" encoding="utf-8"?>
<c:chartSpace xmlns:c="http://schemas.openxmlformats.org/drawingml/2006/chart" xmlns:a="http://schemas.openxmlformats.org/drawingml/2006/main" xmlns:r="http://schemas.openxmlformats.org/officeDocument/2006/relationships">
  <c:date1904 val="1"/>
  <c:lang val="es-ES"/>
  <c:chart>
    <c:autoTitleDeleted val="1"/>
    <c:plotArea>
      <c:layout>
        <c:manualLayout>
          <c:layoutTarget val="inner"/>
          <c:xMode val="edge"/>
          <c:yMode val="edge"/>
          <c:x val="0.17843114194990545"/>
          <c:y val="3.6758563074352546E-2"/>
          <c:w val="0.75612720290476465"/>
          <c:h val="0.80232412124954966"/>
        </c:manualLayout>
      </c:layout>
      <c:barChart>
        <c:barDir val="bar"/>
        <c:grouping val="stacked"/>
        <c:ser>
          <c:idx val="0"/>
          <c:order val="0"/>
          <c:tx>
            <c:strRef>
              <c:f>Hoja1!$B$1</c:f>
              <c:strCache>
                <c:ptCount val="1"/>
                <c:pt idx="0">
                  <c:v>Hombres</c:v>
                </c:pt>
              </c:strCache>
            </c:strRef>
          </c:tx>
          <c:spPr>
            <a:solidFill>
              <a:srgbClr val="92B1D6"/>
            </a:solidFill>
            <a:ln w="19050">
              <a:solidFill>
                <a:sysClr val="windowText" lastClr="000000"/>
              </a:solidFill>
            </a:ln>
          </c:spPr>
          <c:cat>
            <c:strRef>
              <c:f>Hoja1!$A$2:$A$19</c:f>
              <c:strCache>
                <c:ptCount val="18"/>
                <c:pt idx="0">
                  <c:v> 0-4 </c:v>
                </c:pt>
                <c:pt idx="1">
                  <c:v> 5-9 </c:v>
                </c:pt>
                <c:pt idx="2">
                  <c:v> 10-14 </c:v>
                </c:pt>
                <c:pt idx="3">
                  <c:v> 15-19 </c:v>
                </c:pt>
                <c:pt idx="4">
                  <c:v> 20-24 </c:v>
                </c:pt>
                <c:pt idx="5">
                  <c:v> 25-29 </c:v>
                </c:pt>
                <c:pt idx="6">
                  <c:v> 30-34 </c:v>
                </c:pt>
                <c:pt idx="7">
                  <c:v> 35-39 </c:v>
                </c:pt>
                <c:pt idx="8">
                  <c:v> 40-44 </c:v>
                </c:pt>
                <c:pt idx="9">
                  <c:v> 45-49 </c:v>
                </c:pt>
                <c:pt idx="10">
                  <c:v> 50-54 </c:v>
                </c:pt>
                <c:pt idx="11">
                  <c:v> 55-59 </c:v>
                </c:pt>
                <c:pt idx="12">
                  <c:v> 60-64 </c:v>
                </c:pt>
                <c:pt idx="13">
                  <c:v> 65-69 </c:v>
                </c:pt>
                <c:pt idx="14">
                  <c:v> 70-74 </c:v>
                </c:pt>
                <c:pt idx="15">
                  <c:v> 75-79 </c:v>
                </c:pt>
                <c:pt idx="16">
                  <c:v> 80-84 </c:v>
                </c:pt>
                <c:pt idx="17">
                  <c:v> 85 y más </c:v>
                </c:pt>
              </c:strCache>
            </c:strRef>
          </c:cat>
          <c:val>
            <c:numRef>
              <c:f>Hoja1!$B$2:$B$19</c:f>
              <c:numCache>
                <c:formatCode>#,##0</c:formatCode>
                <c:ptCount val="18"/>
                <c:pt idx="0">
                  <c:v>-44031</c:v>
                </c:pt>
                <c:pt idx="1">
                  <c:v>-47133</c:v>
                </c:pt>
                <c:pt idx="2">
                  <c:v>-42534</c:v>
                </c:pt>
                <c:pt idx="3">
                  <c:v>-40157</c:v>
                </c:pt>
                <c:pt idx="4">
                  <c:v>-43121</c:v>
                </c:pt>
                <c:pt idx="5">
                  <c:v>-47303</c:v>
                </c:pt>
                <c:pt idx="6">
                  <c:v>-62269</c:v>
                </c:pt>
                <c:pt idx="7">
                  <c:v>-70936</c:v>
                </c:pt>
                <c:pt idx="8">
                  <c:v>-64227</c:v>
                </c:pt>
                <c:pt idx="9">
                  <c:v>-59192</c:v>
                </c:pt>
                <c:pt idx="10">
                  <c:v>-49074</c:v>
                </c:pt>
                <c:pt idx="11">
                  <c:v>-39207</c:v>
                </c:pt>
                <c:pt idx="12">
                  <c:v>-32211</c:v>
                </c:pt>
                <c:pt idx="13">
                  <c:v>-29011</c:v>
                </c:pt>
                <c:pt idx="14">
                  <c:v>-21807</c:v>
                </c:pt>
                <c:pt idx="15">
                  <c:v>-19528</c:v>
                </c:pt>
                <c:pt idx="16">
                  <c:v>-14199</c:v>
                </c:pt>
                <c:pt idx="17">
                  <c:v>-9716</c:v>
                </c:pt>
              </c:numCache>
            </c:numRef>
          </c:val>
        </c:ser>
        <c:ser>
          <c:idx val="1"/>
          <c:order val="1"/>
          <c:tx>
            <c:strRef>
              <c:f>Hoja1!$C$1</c:f>
              <c:strCache>
                <c:ptCount val="1"/>
                <c:pt idx="0">
                  <c:v>Mujeres</c:v>
                </c:pt>
              </c:strCache>
            </c:strRef>
          </c:tx>
          <c:spPr>
            <a:solidFill>
              <a:srgbClr val="FF6969"/>
            </a:solidFill>
            <a:ln w="19050">
              <a:solidFill>
                <a:sysClr val="windowText" lastClr="000000"/>
              </a:solidFill>
            </a:ln>
          </c:spPr>
          <c:cat>
            <c:strRef>
              <c:f>Hoja1!$A$2:$A$19</c:f>
              <c:strCache>
                <c:ptCount val="18"/>
                <c:pt idx="0">
                  <c:v> 0-4 </c:v>
                </c:pt>
                <c:pt idx="1">
                  <c:v> 5-9 </c:v>
                </c:pt>
                <c:pt idx="2">
                  <c:v> 10-14 </c:v>
                </c:pt>
                <c:pt idx="3">
                  <c:v> 15-19 </c:v>
                </c:pt>
                <c:pt idx="4">
                  <c:v> 20-24 </c:v>
                </c:pt>
                <c:pt idx="5">
                  <c:v> 25-29 </c:v>
                </c:pt>
                <c:pt idx="6">
                  <c:v> 30-34 </c:v>
                </c:pt>
                <c:pt idx="7">
                  <c:v> 35-39 </c:v>
                </c:pt>
                <c:pt idx="8">
                  <c:v> 40-44 </c:v>
                </c:pt>
                <c:pt idx="9">
                  <c:v> 45-49 </c:v>
                </c:pt>
                <c:pt idx="10">
                  <c:v> 50-54 </c:v>
                </c:pt>
                <c:pt idx="11">
                  <c:v> 55-59 </c:v>
                </c:pt>
                <c:pt idx="12">
                  <c:v> 60-64 </c:v>
                </c:pt>
                <c:pt idx="13">
                  <c:v> 65-69 </c:v>
                </c:pt>
                <c:pt idx="14">
                  <c:v> 70-74 </c:v>
                </c:pt>
                <c:pt idx="15">
                  <c:v> 75-79 </c:v>
                </c:pt>
                <c:pt idx="16">
                  <c:v> 80-84 </c:v>
                </c:pt>
                <c:pt idx="17">
                  <c:v> 85 y más </c:v>
                </c:pt>
              </c:strCache>
            </c:strRef>
          </c:cat>
          <c:val>
            <c:numRef>
              <c:f>Hoja1!$C$2:$C$19</c:f>
              <c:numCache>
                <c:formatCode>#,##0</c:formatCode>
                <c:ptCount val="18"/>
                <c:pt idx="0">
                  <c:v>41224</c:v>
                </c:pt>
                <c:pt idx="1">
                  <c:v>44322</c:v>
                </c:pt>
                <c:pt idx="2">
                  <c:v>40416</c:v>
                </c:pt>
                <c:pt idx="3">
                  <c:v>37880</c:v>
                </c:pt>
                <c:pt idx="4">
                  <c:v>41329</c:v>
                </c:pt>
                <c:pt idx="5">
                  <c:v>46107</c:v>
                </c:pt>
                <c:pt idx="6">
                  <c:v>57358</c:v>
                </c:pt>
                <c:pt idx="7">
                  <c:v>62745</c:v>
                </c:pt>
                <c:pt idx="8">
                  <c:v>58773</c:v>
                </c:pt>
                <c:pt idx="9">
                  <c:v>56269</c:v>
                </c:pt>
                <c:pt idx="10">
                  <c:v>48157</c:v>
                </c:pt>
                <c:pt idx="11">
                  <c:v>39875</c:v>
                </c:pt>
                <c:pt idx="12">
                  <c:v>34127</c:v>
                </c:pt>
                <c:pt idx="13">
                  <c:v>32302</c:v>
                </c:pt>
                <c:pt idx="14">
                  <c:v>25229</c:v>
                </c:pt>
                <c:pt idx="15">
                  <c:v>24844</c:v>
                </c:pt>
                <c:pt idx="16">
                  <c:v>21040</c:v>
                </c:pt>
                <c:pt idx="17">
                  <c:v>18528</c:v>
                </c:pt>
              </c:numCache>
            </c:numRef>
          </c:val>
        </c:ser>
        <c:gapWidth val="0"/>
        <c:overlap val="100"/>
        <c:axId val="81910784"/>
        <c:axId val="82117760"/>
      </c:barChart>
      <c:catAx>
        <c:axId val="81910784"/>
        <c:scaling>
          <c:orientation val="minMax"/>
        </c:scaling>
        <c:axPos val="l"/>
        <c:title>
          <c:tx>
            <c:rich>
              <a:bodyPr rot="-5400000" vert="horz"/>
              <a:lstStyle/>
              <a:p>
                <a:pPr>
                  <a:defRPr>
                    <a:latin typeface="Arial" pitchFamily="34" charset="0"/>
                    <a:cs typeface="Arial" pitchFamily="34" charset="0"/>
                  </a:defRPr>
                </a:pPr>
                <a:r>
                  <a:rPr lang="es-ES">
                    <a:latin typeface="Arial" pitchFamily="34" charset="0"/>
                    <a:cs typeface="Arial" pitchFamily="34" charset="0"/>
                  </a:rPr>
                  <a:t>Grupos de edad</a:t>
                </a:r>
              </a:p>
            </c:rich>
          </c:tx>
          <c:layout>
            <c:manualLayout>
              <c:xMode val="edge"/>
              <c:yMode val="edge"/>
              <c:x val="1.6304564971562491E-2"/>
              <c:y val="0.28006853298522194"/>
            </c:manualLayout>
          </c:layout>
        </c:title>
        <c:majorTickMark val="none"/>
        <c:tickLblPos val="low"/>
        <c:txPr>
          <a:bodyPr/>
          <a:lstStyle/>
          <a:p>
            <a:pPr>
              <a:defRPr>
                <a:latin typeface="Arial" pitchFamily="34" charset="0"/>
                <a:cs typeface="Arial" pitchFamily="34" charset="0"/>
              </a:defRPr>
            </a:pPr>
            <a:endParaRPr lang="es-ES"/>
          </a:p>
        </c:txPr>
        <c:crossAx val="82117760"/>
        <c:crossesAt val="0"/>
        <c:auto val="1"/>
        <c:lblAlgn val="ctr"/>
        <c:lblOffset val="100"/>
      </c:catAx>
      <c:valAx>
        <c:axId val="82117760"/>
        <c:scaling>
          <c:orientation val="minMax"/>
          <c:max val="80000"/>
          <c:min val="-80000"/>
        </c:scaling>
        <c:axPos val="b"/>
        <c:majorGridlines/>
        <c:numFmt formatCode="#,##0;#,##0" sourceLinked="0"/>
        <c:majorTickMark val="none"/>
        <c:tickLblPos val="nextTo"/>
        <c:spPr>
          <a:ln w="9525">
            <a:noFill/>
          </a:ln>
        </c:spPr>
        <c:crossAx val="81910784"/>
        <c:crosses val="autoZero"/>
        <c:crossBetween val="between"/>
        <c:majorUnit val="20000"/>
        <c:minorUnit val="4000"/>
      </c:valAx>
    </c:plotArea>
    <c:legend>
      <c:legendPos val="b"/>
      <c:layout>
        <c:manualLayout>
          <c:xMode val="edge"/>
          <c:yMode val="edge"/>
          <c:x val="0.35055814925789164"/>
          <c:y val="0.93667061225190051"/>
          <c:w val="0.40708059499149424"/>
          <c:h val="6.0708464073569793E-2"/>
        </c:manualLayout>
      </c:layout>
    </c:legend>
    <c:plotVisOnly val="1"/>
  </c:chart>
  <c:spPr>
    <a:ln>
      <a:solidFill>
        <a:schemeClr val="bg1"/>
      </a:solidFill>
    </a:ln>
  </c:spPr>
  <c:txPr>
    <a:bodyPr/>
    <a:lstStyle/>
    <a:p>
      <a:pPr>
        <a:defRPr sz="800">
          <a:latin typeface="Times New Roman" pitchFamily="18" charset="0"/>
          <a:cs typeface="Times New Roman" pitchFamily="18" charset="0"/>
        </a:defRPr>
      </a:pPr>
      <a:endParaRPr lang="es-ES"/>
    </a:p>
  </c:txPr>
  <c:externalData r:id="rId1"/>
</c:chartSpace>
</file>

<file path=word/charts/chart9.xml><?xml version="1.0" encoding="utf-8"?>
<c:chartSpace xmlns:c="http://schemas.openxmlformats.org/drawingml/2006/chart" xmlns:a="http://schemas.openxmlformats.org/drawingml/2006/main" xmlns:r="http://schemas.openxmlformats.org/officeDocument/2006/relationships">
  <c:date1904 val="1"/>
  <c:lang val="es-ES"/>
  <c:chart>
    <c:plotArea>
      <c:layout>
        <c:manualLayout>
          <c:layoutTarget val="inner"/>
          <c:xMode val="edge"/>
          <c:yMode val="edge"/>
          <c:x val="0.12500153216888488"/>
          <c:y val="3.0619345859429849E-2"/>
          <c:w val="0.83281146328790123"/>
          <c:h val="0.75652222717443363"/>
        </c:manualLayout>
      </c:layout>
      <c:barChart>
        <c:barDir val="bar"/>
        <c:grouping val="clustered"/>
        <c:ser>
          <c:idx val="3"/>
          <c:order val="0"/>
          <c:tx>
            <c:v>Mujeres extranjeras</c:v>
          </c:tx>
          <c:spPr>
            <a:solidFill>
              <a:srgbClr val="FE0000"/>
            </a:solidFill>
            <a:ln w="19050">
              <a:solidFill>
                <a:schemeClr val="tx1"/>
              </a:solidFill>
            </a:ln>
          </c:spPr>
          <c:val>
            <c:numRef>
              <c:f>'2014'!$D$24:$D$41</c:f>
              <c:numCache>
                <c:formatCode>#,##0</c:formatCode>
                <c:ptCount val="18"/>
                <c:pt idx="0">
                  <c:v>41224</c:v>
                </c:pt>
                <c:pt idx="1">
                  <c:v>44322</c:v>
                </c:pt>
                <c:pt idx="2">
                  <c:v>40416</c:v>
                </c:pt>
                <c:pt idx="3">
                  <c:v>37880</c:v>
                </c:pt>
                <c:pt idx="4">
                  <c:v>41329</c:v>
                </c:pt>
                <c:pt idx="5">
                  <c:v>46107</c:v>
                </c:pt>
                <c:pt idx="6">
                  <c:v>57358</c:v>
                </c:pt>
                <c:pt idx="7">
                  <c:v>62745</c:v>
                </c:pt>
                <c:pt idx="8">
                  <c:v>58773</c:v>
                </c:pt>
                <c:pt idx="9">
                  <c:v>56269</c:v>
                </c:pt>
                <c:pt idx="10">
                  <c:v>48157</c:v>
                </c:pt>
                <c:pt idx="11">
                  <c:v>39875</c:v>
                </c:pt>
                <c:pt idx="12">
                  <c:v>34127</c:v>
                </c:pt>
                <c:pt idx="13">
                  <c:v>32302</c:v>
                </c:pt>
                <c:pt idx="14">
                  <c:v>25229</c:v>
                </c:pt>
                <c:pt idx="15">
                  <c:v>24844</c:v>
                </c:pt>
                <c:pt idx="16">
                  <c:v>21040</c:v>
                </c:pt>
                <c:pt idx="17">
                  <c:v>18528</c:v>
                </c:pt>
              </c:numCache>
            </c:numRef>
          </c:val>
        </c:ser>
        <c:ser>
          <c:idx val="2"/>
          <c:order val="1"/>
          <c:tx>
            <c:v>Mujeres españolas</c:v>
          </c:tx>
          <c:spPr>
            <a:solidFill>
              <a:srgbClr val="FF6969"/>
            </a:solidFill>
            <a:ln w="19050">
              <a:solidFill>
                <a:schemeClr val="tx1"/>
              </a:solidFill>
            </a:ln>
          </c:spPr>
          <c:val>
            <c:numRef>
              <c:f>'2014'!$E$24:$E$41</c:f>
              <c:numCache>
                <c:formatCode>#,##0</c:formatCode>
                <c:ptCount val="18"/>
                <c:pt idx="0">
                  <c:v>40560</c:v>
                </c:pt>
                <c:pt idx="1">
                  <c:v>42251</c:v>
                </c:pt>
                <c:pt idx="2">
                  <c:v>35691</c:v>
                </c:pt>
                <c:pt idx="3">
                  <c:v>31052</c:v>
                </c:pt>
                <c:pt idx="4">
                  <c:v>33547</c:v>
                </c:pt>
                <c:pt idx="5">
                  <c:v>34924</c:v>
                </c:pt>
                <c:pt idx="6">
                  <c:v>42582</c:v>
                </c:pt>
                <c:pt idx="7">
                  <c:v>48384</c:v>
                </c:pt>
                <c:pt idx="8">
                  <c:v>46454</c:v>
                </c:pt>
                <c:pt idx="9">
                  <c:v>46389</c:v>
                </c:pt>
                <c:pt idx="10">
                  <c:v>41552</c:v>
                </c:pt>
                <c:pt idx="11">
                  <c:v>35651</c:v>
                </c:pt>
                <c:pt idx="12">
                  <c:v>30671</c:v>
                </c:pt>
                <c:pt idx="13">
                  <c:v>29213</c:v>
                </c:pt>
                <c:pt idx="14">
                  <c:v>23301</c:v>
                </c:pt>
                <c:pt idx="15">
                  <c:v>23922</c:v>
                </c:pt>
                <c:pt idx="16">
                  <c:v>20446</c:v>
                </c:pt>
                <c:pt idx="17">
                  <c:v>18206</c:v>
                </c:pt>
              </c:numCache>
            </c:numRef>
          </c:val>
        </c:ser>
        <c:ser>
          <c:idx val="0"/>
          <c:order val="2"/>
          <c:tx>
            <c:v>Varones extranjeros</c:v>
          </c:tx>
          <c:spPr>
            <a:solidFill>
              <a:srgbClr val="252769"/>
            </a:solidFill>
            <a:ln w="19050">
              <a:solidFill>
                <a:schemeClr val="tx1"/>
              </a:solidFill>
            </a:ln>
          </c:spPr>
          <c:cat>
            <c:strRef>
              <c:f>'2014'!$A$43:$A$60</c:f>
              <c:strCache>
                <c:ptCount val="18"/>
                <c:pt idx="0">
                  <c:v> 0-4 </c:v>
                </c:pt>
                <c:pt idx="1">
                  <c:v> 5-9 </c:v>
                </c:pt>
                <c:pt idx="2">
                  <c:v> 10-14 </c:v>
                </c:pt>
                <c:pt idx="3">
                  <c:v> 15-19 </c:v>
                </c:pt>
                <c:pt idx="4">
                  <c:v> 20-24 </c:v>
                </c:pt>
                <c:pt idx="5">
                  <c:v> 25-29 </c:v>
                </c:pt>
                <c:pt idx="6">
                  <c:v> 30-34 </c:v>
                </c:pt>
                <c:pt idx="7">
                  <c:v> 35-39 </c:v>
                </c:pt>
                <c:pt idx="8">
                  <c:v> 40-44 </c:v>
                </c:pt>
                <c:pt idx="9">
                  <c:v> 45-49 </c:v>
                </c:pt>
                <c:pt idx="10">
                  <c:v> 50-54 </c:v>
                </c:pt>
                <c:pt idx="11">
                  <c:v> 55-59 </c:v>
                </c:pt>
                <c:pt idx="12">
                  <c:v> 60-64 </c:v>
                </c:pt>
                <c:pt idx="13">
                  <c:v> 65-69 </c:v>
                </c:pt>
                <c:pt idx="14">
                  <c:v> 70-74 </c:v>
                </c:pt>
                <c:pt idx="15">
                  <c:v> 75-79 </c:v>
                </c:pt>
                <c:pt idx="16">
                  <c:v> 80-84 </c:v>
                </c:pt>
                <c:pt idx="17">
                  <c:v> 85 y más </c:v>
                </c:pt>
              </c:strCache>
            </c:strRef>
          </c:cat>
          <c:val>
            <c:numRef>
              <c:f>'2014'!$B$43:$B$60</c:f>
              <c:numCache>
                <c:formatCode>General</c:formatCode>
                <c:ptCount val="18"/>
                <c:pt idx="0">
                  <c:v>-44031</c:v>
                </c:pt>
                <c:pt idx="1">
                  <c:v>-47133</c:v>
                </c:pt>
                <c:pt idx="2">
                  <c:v>-42534</c:v>
                </c:pt>
                <c:pt idx="3">
                  <c:v>-40157</c:v>
                </c:pt>
                <c:pt idx="4">
                  <c:v>-43121</c:v>
                </c:pt>
                <c:pt idx="5">
                  <c:v>-47303</c:v>
                </c:pt>
                <c:pt idx="6">
                  <c:v>-62269</c:v>
                </c:pt>
                <c:pt idx="7">
                  <c:v>-70936</c:v>
                </c:pt>
                <c:pt idx="8">
                  <c:v>-64227</c:v>
                </c:pt>
                <c:pt idx="9">
                  <c:v>-59192</c:v>
                </c:pt>
                <c:pt idx="10">
                  <c:v>-49074</c:v>
                </c:pt>
                <c:pt idx="11">
                  <c:v>-39207</c:v>
                </c:pt>
                <c:pt idx="12">
                  <c:v>-32211</c:v>
                </c:pt>
                <c:pt idx="13">
                  <c:v>-29011</c:v>
                </c:pt>
                <c:pt idx="14">
                  <c:v>-21807</c:v>
                </c:pt>
                <c:pt idx="15">
                  <c:v>-19528</c:v>
                </c:pt>
                <c:pt idx="16">
                  <c:v>-14199</c:v>
                </c:pt>
                <c:pt idx="17">
                  <c:v>-9716</c:v>
                </c:pt>
              </c:numCache>
            </c:numRef>
          </c:val>
        </c:ser>
        <c:ser>
          <c:idx val="1"/>
          <c:order val="3"/>
          <c:tx>
            <c:v>Varones españoles</c:v>
          </c:tx>
          <c:spPr>
            <a:solidFill>
              <a:srgbClr val="92B1D6"/>
            </a:solidFill>
            <a:ln w="19050">
              <a:solidFill>
                <a:schemeClr val="tx1"/>
              </a:solidFill>
            </a:ln>
          </c:spPr>
          <c:val>
            <c:numRef>
              <c:f>'2014'!$C$43:$C$60</c:f>
              <c:numCache>
                <c:formatCode>General</c:formatCode>
                <c:ptCount val="18"/>
                <c:pt idx="0">
                  <c:v>-43269</c:v>
                </c:pt>
                <c:pt idx="1">
                  <c:v>-44932</c:v>
                </c:pt>
                <c:pt idx="2">
                  <c:v>-37680</c:v>
                </c:pt>
                <c:pt idx="3">
                  <c:v>-32766</c:v>
                </c:pt>
                <c:pt idx="4">
                  <c:v>-35509</c:v>
                </c:pt>
                <c:pt idx="5">
                  <c:v>-36878</c:v>
                </c:pt>
                <c:pt idx="6">
                  <c:v>-44736</c:v>
                </c:pt>
                <c:pt idx="7">
                  <c:v>-50623</c:v>
                </c:pt>
                <c:pt idx="8">
                  <c:v>-47485</c:v>
                </c:pt>
                <c:pt idx="9">
                  <c:v>-46404</c:v>
                </c:pt>
                <c:pt idx="10">
                  <c:v>-40878</c:v>
                </c:pt>
                <c:pt idx="11">
                  <c:v>-34240</c:v>
                </c:pt>
                <c:pt idx="12">
                  <c:v>-28874</c:v>
                </c:pt>
                <c:pt idx="13">
                  <c:v>-25908</c:v>
                </c:pt>
                <c:pt idx="14">
                  <c:v>-19636</c:v>
                </c:pt>
                <c:pt idx="15">
                  <c:v>-18370</c:v>
                </c:pt>
                <c:pt idx="16">
                  <c:v>-13653</c:v>
                </c:pt>
                <c:pt idx="17">
                  <c:v>-9506</c:v>
                </c:pt>
              </c:numCache>
            </c:numRef>
          </c:val>
        </c:ser>
        <c:gapWidth val="0"/>
        <c:overlap val="100"/>
        <c:axId val="82131584"/>
        <c:axId val="82137856"/>
      </c:barChart>
      <c:catAx>
        <c:axId val="82131584"/>
        <c:scaling>
          <c:orientation val="minMax"/>
        </c:scaling>
        <c:axPos val="l"/>
        <c:title>
          <c:tx>
            <c:rich>
              <a:bodyPr rot="-5400000" vert="horz"/>
              <a:lstStyle/>
              <a:p>
                <a:pPr>
                  <a:defRPr/>
                </a:pPr>
                <a:r>
                  <a:rPr lang="es-ES"/>
                  <a:t>Grupos de edad</a:t>
                </a:r>
              </a:p>
            </c:rich>
          </c:tx>
          <c:layout>
            <c:manualLayout>
              <c:xMode val="edge"/>
              <c:yMode val="edge"/>
              <c:x val="1.3536322512700464E-2"/>
              <c:y val="0.26979118176265732"/>
            </c:manualLayout>
          </c:layout>
        </c:title>
        <c:numFmt formatCode="General" sourceLinked="1"/>
        <c:tickLblPos val="low"/>
        <c:crossAx val="82137856"/>
        <c:crossesAt val="-80"/>
        <c:auto val="1"/>
        <c:lblAlgn val="ctr"/>
        <c:lblOffset val="100"/>
      </c:catAx>
      <c:valAx>
        <c:axId val="82137856"/>
        <c:scaling>
          <c:orientation val="minMax"/>
        </c:scaling>
        <c:axPos val="b"/>
        <c:majorGridlines/>
        <c:numFmt formatCode="#,##0;#,##0" sourceLinked="0"/>
        <c:tickLblPos val="nextTo"/>
        <c:crossAx val="82131584"/>
        <c:crosses val="autoZero"/>
        <c:crossBetween val="between"/>
      </c:valAx>
    </c:plotArea>
    <c:legend>
      <c:legendPos val="b"/>
      <c:layout>
        <c:manualLayout>
          <c:xMode val="edge"/>
          <c:yMode val="edge"/>
          <c:x val="0.1941440895771625"/>
          <c:y val="0.87712639693623207"/>
          <c:w val="0.69764368850983505"/>
          <c:h val="0.10743359910199909"/>
        </c:manualLayout>
      </c:layout>
    </c:legend>
    <c:plotVisOnly val="1"/>
    <c:dispBlanksAs val="gap"/>
  </c:chart>
  <c:spPr>
    <a:ln>
      <a:noFill/>
    </a:ln>
  </c:spPr>
  <c:txPr>
    <a:bodyPr/>
    <a:lstStyle/>
    <a:p>
      <a:pPr>
        <a:defRPr sz="800">
          <a:latin typeface="Arial" pitchFamily="34" charset="0"/>
          <a:cs typeface="Arial" pitchFamily="34" charset="0"/>
        </a:defRPr>
      </a:pPr>
      <a:endParaRPr lang="es-ES"/>
    </a:p>
  </c:txPr>
  <c:externalData r:id="rId1"/>
</c:chartSpace>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theme/themeOverride1.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564B9EF-D41F-4C4B-93CC-E0C3EDB3E6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874</TotalTime>
  <Pages>27</Pages>
  <Words>6988</Words>
  <Characters>38438</Characters>
  <Application>Microsoft Office Word</Application>
  <DocSecurity>0</DocSecurity>
  <Lines>320</Lines>
  <Paragraphs>90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45336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Carlos</dc:creator>
  <cp:lastModifiedBy>K@®LØ$</cp:lastModifiedBy>
  <cp:revision>172</cp:revision>
  <cp:lastPrinted>2015-02-09T21:17:00Z</cp:lastPrinted>
  <dcterms:created xsi:type="dcterms:W3CDTF">2015-01-24T00:34:00Z</dcterms:created>
  <dcterms:modified xsi:type="dcterms:W3CDTF">2015-02-15T20:29:00Z</dcterms:modified>
</cp:coreProperties>
</file>