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340" w:rsidRDefault="00FF0340" w:rsidP="00FF0340">
      <w:pPr>
        <w:spacing w:line="240" w:lineRule="auto"/>
        <w:jc w:val="center"/>
        <w:rPr>
          <w:rFonts w:ascii="Arial" w:hAnsi="Arial" w:cs="Arial"/>
          <w:b/>
          <w:sz w:val="24"/>
          <w:szCs w:val="24"/>
          <w:lang w:val="en-US"/>
        </w:rPr>
      </w:pPr>
      <w:bookmarkStart w:id="0" w:name="OLE_LINK1"/>
      <w:bookmarkStart w:id="1" w:name="OLE_LINK2"/>
      <w:r w:rsidRPr="00575B99">
        <w:rPr>
          <w:rFonts w:ascii="Arial" w:hAnsi="Arial" w:cs="Arial"/>
          <w:b/>
          <w:sz w:val="24"/>
          <w:szCs w:val="24"/>
          <w:lang w:val="en-US"/>
        </w:rPr>
        <w:t xml:space="preserve">Health </w:t>
      </w:r>
      <w:r>
        <w:rPr>
          <w:rFonts w:ascii="Arial" w:hAnsi="Arial" w:cs="Arial"/>
          <w:b/>
          <w:sz w:val="24"/>
          <w:szCs w:val="24"/>
          <w:lang w:val="en-US"/>
        </w:rPr>
        <w:t>p</w:t>
      </w:r>
      <w:r w:rsidRPr="00575B99">
        <w:rPr>
          <w:rFonts w:ascii="Arial" w:hAnsi="Arial" w:cs="Arial"/>
          <w:b/>
          <w:sz w:val="24"/>
          <w:szCs w:val="24"/>
          <w:lang w:val="en-US"/>
        </w:rPr>
        <w:t xml:space="preserve">romotion </w:t>
      </w:r>
      <w:r>
        <w:rPr>
          <w:rFonts w:ascii="Arial" w:hAnsi="Arial" w:cs="Arial"/>
          <w:b/>
          <w:sz w:val="24"/>
          <w:szCs w:val="24"/>
          <w:lang w:val="en-US"/>
        </w:rPr>
        <w:t>behavior</w:t>
      </w:r>
      <w:r w:rsidRPr="00575B99">
        <w:rPr>
          <w:rFonts w:ascii="Arial" w:hAnsi="Arial" w:cs="Arial"/>
          <w:b/>
          <w:sz w:val="24"/>
          <w:szCs w:val="24"/>
          <w:lang w:val="en-US"/>
        </w:rPr>
        <w:t xml:space="preserve">s and physical dependence </w:t>
      </w:r>
      <w:r>
        <w:rPr>
          <w:rFonts w:ascii="Arial" w:hAnsi="Arial" w:cs="Arial"/>
          <w:b/>
          <w:sz w:val="24"/>
          <w:szCs w:val="24"/>
          <w:lang w:val="en-US"/>
        </w:rPr>
        <w:t>in</w:t>
      </w:r>
      <w:r w:rsidR="00E16D6E">
        <w:rPr>
          <w:rFonts w:ascii="Arial" w:hAnsi="Arial" w:cs="Arial"/>
          <w:b/>
          <w:sz w:val="24"/>
          <w:szCs w:val="24"/>
          <w:lang w:val="en-US"/>
        </w:rPr>
        <w:t xml:space="preserve"> people with clinical diagnosis</w:t>
      </w:r>
      <w:r>
        <w:rPr>
          <w:rFonts w:ascii="Arial" w:hAnsi="Arial" w:cs="Arial"/>
          <w:b/>
          <w:sz w:val="24"/>
          <w:szCs w:val="24"/>
          <w:lang w:val="en-US"/>
        </w:rPr>
        <w:t xml:space="preserve"> of </w:t>
      </w:r>
      <w:bookmarkEnd w:id="0"/>
      <w:bookmarkEnd w:id="1"/>
      <w:r>
        <w:rPr>
          <w:rFonts w:ascii="Arial" w:hAnsi="Arial" w:cs="Arial"/>
          <w:b/>
          <w:sz w:val="24"/>
          <w:szCs w:val="24"/>
          <w:lang w:val="en-US"/>
        </w:rPr>
        <w:t>c</w:t>
      </w:r>
      <w:r w:rsidRPr="00D51020">
        <w:rPr>
          <w:rFonts w:ascii="Arial" w:hAnsi="Arial" w:cs="Arial"/>
          <w:b/>
          <w:sz w:val="24"/>
          <w:szCs w:val="24"/>
          <w:lang w:val="en-US"/>
        </w:rPr>
        <w:t>hronic obstructive pulmonary disease</w:t>
      </w:r>
    </w:p>
    <w:p w:rsidR="00FF0340" w:rsidRDefault="00FF0340" w:rsidP="00FF0340">
      <w:pPr>
        <w:spacing w:line="240" w:lineRule="auto"/>
        <w:jc w:val="center"/>
        <w:rPr>
          <w:rFonts w:ascii="Arial" w:hAnsi="Arial" w:cs="Arial"/>
          <w:b/>
          <w:sz w:val="24"/>
          <w:szCs w:val="24"/>
          <w:highlight w:val="yellow"/>
          <w:lang w:val="en-US"/>
        </w:rPr>
      </w:pPr>
    </w:p>
    <w:p w:rsidR="003A7250" w:rsidRPr="00FF0340" w:rsidRDefault="003A7250" w:rsidP="00FF0340">
      <w:pPr>
        <w:spacing w:line="240" w:lineRule="auto"/>
        <w:jc w:val="center"/>
        <w:rPr>
          <w:rFonts w:ascii="Arial" w:hAnsi="Arial" w:cs="Arial"/>
          <w:b/>
          <w:sz w:val="24"/>
          <w:szCs w:val="24"/>
          <w:highlight w:val="yellow"/>
          <w:lang w:val="en-US"/>
        </w:rPr>
      </w:pPr>
    </w:p>
    <w:p w:rsidR="00FF0340" w:rsidRDefault="00FF0340" w:rsidP="00FF0340">
      <w:pPr>
        <w:spacing w:line="240" w:lineRule="auto"/>
        <w:jc w:val="center"/>
        <w:rPr>
          <w:rFonts w:ascii="Arial" w:hAnsi="Arial" w:cs="Arial"/>
          <w:sz w:val="24"/>
          <w:szCs w:val="24"/>
          <w:lang w:val="es-ES"/>
        </w:rPr>
      </w:pPr>
      <w:r>
        <w:rPr>
          <w:rFonts w:ascii="Arial" w:hAnsi="Arial" w:cs="Arial"/>
          <w:sz w:val="24"/>
          <w:szCs w:val="24"/>
          <w:lang w:val="es-ES"/>
        </w:rPr>
        <w:t xml:space="preserve">*Valencia Rico, Claudia Liliana </w:t>
      </w:r>
      <w:r w:rsidRPr="008440B3">
        <w:rPr>
          <w:rFonts w:ascii="Arial" w:hAnsi="Arial" w:cs="Arial"/>
          <w:sz w:val="24"/>
          <w:szCs w:val="24"/>
          <w:lang w:val="es-ES"/>
        </w:rPr>
        <w:t>**</w:t>
      </w:r>
      <w:r>
        <w:rPr>
          <w:rFonts w:ascii="Arial" w:hAnsi="Arial" w:cs="Arial"/>
          <w:sz w:val="24"/>
          <w:szCs w:val="24"/>
          <w:lang w:val="es-ES"/>
        </w:rPr>
        <w:t xml:space="preserve">Henao </w:t>
      </w:r>
      <w:r w:rsidRPr="008440B3">
        <w:rPr>
          <w:rFonts w:ascii="Arial" w:hAnsi="Arial" w:cs="Arial"/>
          <w:sz w:val="24"/>
          <w:szCs w:val="24"/>
          <w:lang w:val="es-ES"/>
        </w:rPr>
        <w:t>Trujillo</w:t>
      </w:r>
      <w:r>
        <w:rPr>
          <w:rFonts w:ascii="Arial" w:hAnsi="Arial" w:cs="Arial"/>
          <w:sz w:val="24"/>
          <w:szCs w:val="24"/>
          <w:lang w:val="es-ES"/>
        </w:rPr>
        <w:t xml:space="preserve">, </w:t>
      </w:r>
      <w:r w:rsidRPr="008440B3">
        <w:rPr>
          <w:rFonts w:ascii="Arial" w:hAnsi="Arial" w:cs="Arial"/>
          <w:sz w:val="24"/>
          <w:szCs w:val="24"/>
          <w:lang w:val="es-ES"/>
        </w:rPr>
        <w:t>Olga María</w:t>
      </w:r>
      <w:r>
        <w:rPr>
          <w:rFonts w:ascii="Arial" w:hAnsi="Arial" w:cs="Arial"/>
          <w:sz w:val="24"/>
          <w:szCs w:val="24"/>
          <w:lang w:val="es-ES"/>
        </w:rPr>
        <w:t xml:space="preserve"> ***Felipe Antonio Gallego</w:t>
      </w:r>
    </w:p>
    <w:p w:rsidR="00501C75" w:rsidRDefault="00501C75" w:rsidP="00FF0340">
      <w:pPr>
        <w:spacing w:line="240" w:lineRule="auto"/>
        <w:jc w:val="center"/>
        <w:rPr>
          <w:rFonts w:ascii="Arial" w:hAnsi="Arial" w:cs="Arial"/>
          <w:sz w:val="24"/>
          <w:szCs w:val="24"/>
          <w:lang w:val="es-ES"/>
        </w:rPr>
      </w:pPr>
    </w:p>
    <w:p w:rsidR="00C60F36" w:rsidRDefault="00501C75" w:rsidP="00FF0340">
      <w:pPr>
        <w:spacing w:line="240" w:lineRule="auto"/>
        <w:jc w:val="both"/>
        <w:rPr>
          <w:rFonts w:ascii="Arial" w:hAnsi="Arial" w:cs="Arial"/>
          <w:sz w:val="24"/>
          <w:szCs w:val="24"/>
          <w:lang w:val="en-US"/>
        </w:rPr>
      </w:pPr>
      <w:r>
        <w:rPr>
          <w:rFonts w:ascii="Arial" w:hAnsi="Arial" w:cs="Arial"/>
          <w:sz w:val="24"/>
          <w:szCs w:val="24"/>
          <w:lang w:val="en-US"/>
        </w:rPr>
        <w:t xml:space="preserve">* </w:t>
      </w:r>
      <w:r w:rsidR="00C60F36" w:rsidRPr="00B52F76">
        <w:rPr>
          <w:rFonts w:ascii="Arial" w:hAnsi="Arial" w:cs="Arial"/>
          <w:sz w:val="24"/>
          <w:szCs w:val="24"/>
          <w:lang w:val="en-US"/>
        </w:rPr>
        <w:t xml:space="preserve">Nurse, Specialist in Cardiopulmonary </w:t>
      </w:r>
      <w:r w:rsidR="001F73DF" w:rsidRPr="00B52F76">
        <w:rPr>
          <w:rFonts w:ascii="Arial" w:hAnsi="Arial" w:cs="Arial"/>
          <w:sz w:val="24"/>
          <w:szCs w:val="24"/>
          <w:lang w:val="en-US"/>
        </w:rPr>
        <w:t>Rehabilitation,</w:t>
      </w:r>
      <w:r w:rsidR="00B52F76" w:rsidRPr="00B52F76">
        <w:rPr>
          <w:rFonts w:ascii="Arial" w:hAnsi="Arial" w:cs="Arial"/>
          <w:sz w:val="24"/>
          <w:szCs w:val="24"/>
          <w:lang w:val="en-US"/>
        </w:rPr>
        <w:t xml:space="preserve"> Magister in Nursing with emphasis </w:t>
      </w:r>
      <w:r w:rsidR="00A436E2">
        <w:rPr>
          <w:rFonts w:ascii="Arial" w:hAnsi="Arial" w:cs="Arial"/>
          <w:sz w:val="24"/>
          <w:szCs w:val="24"/>
          <w:lang w:val="en-US"/>
        </w:rPr>
        <w:t>on</w:t>
      </w:r>
      <w:r w:rsidR="001F73DF">
        <w:rPr>
          <w:rFonts w:ascii="Arial" w:hAnsi="Arial" w:cs="Arial"/>
          <w:sz w:val="24"/>
          <w:szCs w:val="24"/>
          <w:lang w:val="en-US"/>
        </w:rPr>
        <w:t xml:space="preserve"> adult and</w:t>
      </w:r>
      <w:r w:rsidR="00E16D6E">
        <w:rPr>
          <w:rFonts w:ascii="Arial" w:hAnsi="Arial" w:cs="Arial"/>
          <w:sz w:val="24"/>
          <w:szCs w:val="24"/>
          <w:lang w:val="en-US"/>
        </w:rPr>
        <w:t xml:space="preserve"> </w:t>
      </w:r>
      <w:r w:rsidR="00A436E2">
        <w:rPr>
          <w:rFonts w:ascii="Arial" w:hAnsi="Arial" w:cs="Arial"/>
          <w:sz w:val="24"/>
          <w:szCs w:val="24"/>
          <w:lang w:val="en-US"/>
        </w:rPr>
        <w:t>care</w:t>
      </w:r>
      <w:r w:rsidR="00E16D6E">
        <w:rPr>
          <w:rFonts w:ascii="Arial" w:hAnsi="Arial" w:cs="Arial"/>
          <w:sz w:val="24"/>
          <w:szCs w:val="24"/>
          <w:lang w:val="en-US"/>
        </w:rPr>
        <w:t xml:space="preserve"> for the elderly.</w:t>
      </w:r>
      <w:r w:rsidR="001F73DF">
        <w:rPr>
          <w:rFonts w:ascii="Arial" w:hAnsi="Arial" w:cs="Arial"/>
          <w:sz w:val="24"/>
          <w:szCs w:val="24"/>
          <w:lang w:val="en-US"/>
        </w:rPr>
        <w:t xml:space="preserve"> Nursing Professor at the Faculty of Nursing of the Catholic University of Manizales, Colombia. </w:t>
      </w:r>
      <w:r w:rsidR="001F73DF" w:rsidRPr="001F73DF">
        <w:rPr>
          <w:rFonts w:ascii="Arial" w:hAnsi="Arial" w:cs="Arial"/>
          <w:sz w:val="24"/>
          <w:szCs w:val="24"/>
          <w:lang w:val="en-US"/>
        </w:rPr>
        <w:t>E-mail: cvalencia@ucm.edu.co</w:t>
      </w:r>
    </w:p>
    <w:p w:rsidR="003A7250" w:rsidRDefault="003A7250" w:rsidP="00FF0340">
      <w:pPr>
        <w:spacing w:line="240" w:lineRule="auto"/>
        <w:jc w:val="both"/>
        <w:rPr>
          <w:rFonts w:ascii="Arial" w:hAnsi="Arial" w:cs="Arial"/>
          <w:sz w:val="24"/>
          <w:szCs w:val="24"/>
          <w:lang w:val="en-US"/>
        </w:rPr>
      </w:pPr>
    </w:p>
    <w:p w:rsidR="001F73DF" w:rsidRDefault="00501C75" w:rsidP="00FF0340">
      <w:pPr>
        <w:spacing w:line="240" w:lineRule="auto"/>
        <w:jc w:val="both"/>
        <w:rPr>
          <w:rFonts w:ascii="Arial" w:hAnsi="Arial" w:cs="Arial"/>
          <w:sz w:val="24"/>
          <w:szCs w:val="24"/>
          <w:lang w:val="en-US"/>
        </w:rPr>
      </w:pPr>
      <w:r>
        <w:rPr>
          <w:rFonts w:ascii="Arial" w:hAnsi="Arial" w:cs="Arial"/>
          <w:sz w:val="24"/>
          <w:szCs w:val="24"/>
          <w:lang w:val="en-US"/>
        </w:rPr>
        <w:t xml:space="preserve">** </w:t>
      </w:r>
      <w:r w:rsidR="001F73DF" w:rsidRPr="00B52F76">
        <w:rPr>
          <w:rFonts w:ascii="Arial" w:hAnsi="Arial" w:cs="Arial"/>
          <w:sz w:val="24"/>
          <w:szCs w:val="24"/>
          <w:lang w:val="en-US"/>
        </w:rPr>
        <w:t>Nurse, Specialist in</w:t>
      </w:r>
      <w:r w:rsidR="001F73DF">
        <w:rPr>
          <w:rFonts w:ascii="Arial" w:hAnsi="Arial" w:cs="Arial"/>
          <w:sz w:val="24"/>
          <w:szCs w:val="24"/>
          <w:lang w:val="en-US"/>
        </w:rPr>
        <w:t xml:space="preserve"> Health Administration. Student of the Master Program in Education. Nursing Professor at the Faculty of Nursing of the Catholic University of Manizales, Colombia.</w:t>
      </w:r>
    </w:p>
    <w:p w:rsidR="003A7250" w:rsidRDefault="003A7250" w:rsidP="00FF0340">
      <w:pPr>
        <w:spacing w:line="240" w:lineRule="auto"/>
        <w:jc w:val="both"/>
        <w:rPr>
          <w:rFonts w:ascii="Arial" w:hAnsi="Arial" w:cs="Arial"/>
          <w:sz w:val="24"/>
          <w:szCs w:val="24"/>
          <w:lang w:val="en-US"/>
        </w:rPr>
      </w:pPr>
    </w:p>
    <w:p w:rsidR="00924578" w:rsidRPr="00924578" w:rsidRDefault="00FF0340" w:rsidP="00FF0340">
      <w:pPr>
        <w:spacing w:line="240" w:lineRule="auto"/>
        <w:jc w:val="both"/>
        <w:rPr>
          <w:rFonts w:ascii="Arial" w:hAnsi="Arial" w:cs="Arial"/>
          <w:sz w:val="24"/>
          <w:szCs w:val="24"/>
          <w:lang w:val="en-US"/>
        </w:rPr>
      </w:pPr>
      <w:r w:rsidRPr="00924578">
        <w:rPr>
          <w:rFonts w:ascii="Arial" w:hAnsi="Arial" w:cs="Arial"/>
          <w:sz w:val="24"/>
          <w:szCs w:val="24"/>
          <w:lang w:val="en-US"/>
        </w:rPr>
        <w:t>***</w:t>
      </w:r>
      <w:r w:rsidR="00924578" w:rsidRPr="00924578">
        <w:rPr>
          <w:rFonts w:ascii="Arial" w:hAnsi="Arial" w:cs="Arial"/>
          <w:sz w:val="24"/>
          <w:szCs w:val="24"/>
          <w:lang w:val="en-US"/>
        </w:rPr>
        <w:t>Mathematician</w:t>
      </w:r>
      <w:r w:rsidRPr="00924578">
        <w:rPr>
          <w:rFonts w:ascii="Arial" w:hAnsi="Arial" w:cs="Arial"/>
          <w:sz w:val="24"/>
          <w:szCs w:val="24"/>
          <w:lang w:val="en-US"/>
        </w:rPr>
        <w:t xml:space="preserve">, </w:t>
      </w:r>
      <w:r w:rsidR="00924578" w:rsidRPr="00924578">
        <w:rPr>
          <w:rFonts w:ascii="Arial" w:hAnsi="Arial" w:cs="Arial"/>
          <w:sz w:val="24"/>
          <w:szCs w:val="24"/>
          <w:lang w:val="en-US"/>
        </w:rPr>
        <w:t>Magister i</w:t>
      </w:r>
      <w:r w:rsidRPr="00924578">
        <w:rPr>
          <w:rFonts w:ascii="Arial" w:hAnsi="Arial" w:cs="Arial"/>
          <w:sz w:val="24"/>
          <w:szCs w:val="24"/>
          <w:lang w:val="en-US"/>
        </w:rPr>
        <w:t xml:space="preserve">n </w:t>
      </w:r>
      <w:r w:rsidR="00924578" w:rsidRPr="00924578">
        <w:rPr>
          <w:rFonts w:ascii="Arial" w:hAnsi="Arial" w:cs="Arial"/>
          <w:sz w:val="24"/>
          <w:szCs w:val="24"/>
          <w:lang w:val="en-US"/>
        </w:rPr>
        <w:t>Applied Science and Mathematics</w:t>
      </w:r>
      <w:r w:rsidRPr="00924578">
        <w:rPr>
          <w:rFonts w:ascii="Arial" w:hAnsi="Arial" w:cs="Arial"/>
          <w:sz w:val="24"/>
          <w:szCs w:val="24"/>
          <w:lang w:val="en-US"/>
        </w:rPr>
        <w:t xml:space="preserve">. </w:t>
      </w:r>
      <w:r w:rsidR="00924578" w:rsidRPr="00924578">
        <w:rPr>
          <w:rFonts w:ascii="Arial" w:hAnsi="Arial" w:cs="Arial"/>
          <w:sz w:val="24"/>
          <w:szCs w:val="24"/>
          <w:lang w:val="en-US"/>
        </w:rPr>
        <w:t xml:space="preserve">Statistician at the Research and </w:t>
      </w:r>
      <w:r w:rsidR="00924578">
        <w:rPr>
          <w:rFonts w:ascii="Arial" w:hAnsi="Arial" w:cs="Arial"/>
          <w:sz w:val="24"/>
          <w:szCs w:val="24"/>
          <w:lang w:val="en-US"/>
        </w:rPr>
        <w:t>Post-graduate E</w:t>
      </w:r>
      <w:r w:rsidR="00924578" w:rsidRPr="00924578">
        <w:rPr>
          <w:rFonts w:ascii="Arial" w:hAnsi="Arial" w:cs="Arial"/>
          <w:sz w:val="24"/>
          <w:szCs w:val="24"/>
          <w:lang w:val="en-US"/>
        </w:rPr>
        <w:t xml:space="preserve">ducation Direction of </w:t>
      </w:r>
      <w:r w:rsidR="00924578">
        <w:rPr>
          <w:rFonts w:ascii="Arial" w:hAnsi="Arial" w:cs="Arial"/>
          <w:sz w:val="24"/>
          <w:szCs w:val="24"/>
          <w:lang w:val="en-US"/>
        </w:rPr>
        <w:t>the Catholic University of Manizales.</w:t>
      </w:r>
    </w:p>
    <w:p w:rsidR="00501C75" w:rsidRDefault="00501C75"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3A7250" w:rsidRDefault="003A7250" w:rsidP="00FF0340">
      <w:pPr>
        <w:spacing w:line="240" w:lineRule="auto"/>
        <w:jc w:val="both"/>
        <w:rPr>
          <w:rFonts w:ascii="Arial" w:hAnsi="Arial" w:cs="Arial"/>
          <w:b/>
          <w:sz w:val="24"/>
          <w:szCs w:val="24"/>
          <w:lang w:val="en-US"/>
        </w:rPr>
      </w:pPr>
    </w:p>
    <w:p w:rsidR="00FF0340" w:rsidRDefault="00FF0340" w:rsidP="00FF0340">
      <w:pPr>
        <w:spacing w:line="240" w:lineRule="auto"/>
        <w:jc w:val="both"/>
        <w:rPr>
          <w:rFonts w:ascii="Arial" w:hAnsi="Arial" w:cs="Arial"/>
          <w:b/>
          <w:sz w:val="24"/>
          <w:szCs w:val="24"/>
          <w:lang w:val="en-US"/>
        </w:rPr>
      </w:pPr>
      <w:r>
        <w:rPr>
          <w:rFonts w:ascii="Arial" w:hAnsi="Arial" w:cs="Arial"/>
          <w:b/>
          <w:sz w:val="24"/>
          <w:szCs w:val="24"/>
          <w:lang w:val="en-US"/>
        </w:rPr>
        <w:t>ABSTRACT</w:t>
      </w:r>
    </w:p>
    <w:p w:rsidR="00FF0340" w:rsidRPr="00E64D27" w:rsidRDefault="00FF0340" w:rsidP="00FF0340">
      <w:pPr>
        <w:spacing w:line="240" w:lineRule="auto"/>
        <w:jc w:val="both"/>
        <w:rPr>
          <w:rFonts w:ascii="Arial" w:hAnsi="Arial" w:cs="Arial"/>
          <w:sz w:val="24"/>
          <w:szCs w:val="24"/>
          <w:lang w:val="en-US"/>
        </w:rPr>
      </w:pPr>
      <w:r>
        <w:rPr>
          <w:rFonts w:ascii="Arial" w:hAnsi="Arial" w:cs="Arial"/>
          <w:b/>
          <w:sz w:val="24"/>
          <w:szCs w:val="24"/>
          <w:lang w:val="en-US"/>
        </w:rPr>
        <w:t xml:space="preserve">Objective: </w:t>
      </w:r>
      <w:r>
        <w:rPr>
          <w:rFonts w:ascii="Arial" w:hAnsi="Arial" w:cs="Arial"/>
          <w:sz w:val="24"/>
          <w:szCs w:val="24"/>
          <w:lang w:val="en-US"/>
        </w:rPr>
        <w:t xml:space="preserve">To describe health promotion behaviors and the degree of physical dependence in people </w:t>
      </w:r>
      <w:r w:rsidRPr="00D51020">
        <w:rPr>
          <w:rFonts w:ascii="Arial" w:hAnsi="Arial" w:cs="Arial"/>
          <w:sz w:val="24"/>
          <w:szCs w:val="24"/>
          <w:lang w:val="en-US"/>
        </w:rPr>
        <w:t>with chronic obstructive pulmonary disease</w:t>
      </w:r>
      <w:r>
        <w:rPr>
          <w:rFonts w:ascii="Arial" w:hAnsi="Arial" w:cs="Arial"/>
          <w:sz w:val="24"/>
          <w:szCs w:val="24"/>
          <w:lang w:val="en-US"/>
        </w:rPr>
        <w:t xml:space="preserve"> (COPD) diagnosed. </w:t>
      </w:r>
      <w:r>
        <w:rPr>
          <w:rFonts w:ascii="Arial" w:hAnsi="Arial" w:cs="Arial"/>
          <w:b/>
          <w:sz w:val="24"/>
          <w:szCs w:val="24"/>
          <w:lang w:val="en-US"/>
        </w:rPr>
        <w:t xml:space="preserve">Methodology: </w:t>
      </w:r>
      <w:r>
        <w:rPr>
          <w:rFonts w:ascii="Arial" w:hAnsi="Arial" w:cs="Arial"/>
          <w:sz w:val="24"/>
          <w:szCs w:val="24"/>
          <w:lang w:val="en-US"/>
        </w:rPr>
        <w:t xml:space="preserve">This study employed a quantitative correlational approach in which a probabilistic sample of 125 people was obtained. A health-promoting lifestyle Profile II Spanish version and the </w:t>
      </w:r>
      <w:r w:rsidRPr="00513EBD">
        <w:rPr>
          <w:rFonts w:ascii="Arial" w:hAnsi="Arial" w:cs="Arial"/>
          <w:bCs/>
          <w:noProof/>
          <w:sz w:val="24"/>
          <w:szCs w:val="24"/>
          <w:lang w:val="en-US"/>
        </w:rPr>
        <w:t>Barthel</w:t>
      </w:r>
      <w:r>
        <w:rPr>
          <w:rFonts w:ascii="Arial" w:hAnsi="Arial" w:cs="Arial"/>
          <w:bCs/>
          <w:noProof/>
          <w:sz w:val="24"/>
          <w:szCs w:val="24"/>
          <w:lang w:val="en-US"/>
        </w:rPr>
        <w:t xml:space="preserve"> Index scale</w:t>
      </w:r>
      <w:r>
        <w:rPr>
          <w:rFonts w:ascii="Arial" w:hAnsi="Arial" w:cs="Arial"/>
          <w:sz w:val="24"/>
          <w:szCs w:val="24"/>
          <w:lang w:val="en-US"/>
        </w:rPr>
        <w:t xml:space="preserve"> were applied. </w:t>
      </w:r>
      <w:r w:rsidRPr="00513EBD">
        <w:rPr>
          <w:rFonts w:ascii="Arial" w:hAnsi="Arial" w:cs="Arial"/>
          <w:b/>
          <w:sz w:val="24"/>
          <w:szCs w:val="24"/>
          <w:lang w:val="en-US"/>
        </w:rPr>
        <w:t xml:space="preserve">Findings: </w:t>
      </w:r>
      <w:r w:rsidRPr="00E64D27">
        <w:rPr>
          <w:rFonts w:ascii="Arial" w:hAnsi="Arial" w:cs="Arial"/>
          <w:sz w:val="24"/>
          <w:szCs w:val="24"/>
          <w:lang w:val="en-US"/>
        </w:rPr>
        <w:t>Th</w:t>
      </w:r>
      <w:r>
        <w:rPr>
          <w:rFonts w:ascii="Arial" w:hAnsi="Arial" w:cs="Arial"/>
          <w:sz w:val="24"/>
          <w:szCs w:val="24"/>
          <w:lang w:val="en-US"/>
        </w:rPr>
        <w:t xml:space="preserve">e 68.8% of the participants were females. The most prevailing diagnostic was unspecified COPD 67.2%. As </w:t>
      </w:r>
      <w:r w:rsidR="009665E7">
        <w:rPr>
          <w:rFonts w:ascii="Arial" w:hAnsi="Arial" w:cs="Arial"/>
          <w:sz w:val="24"/>
          <w:szCs w:val="24"/>
          <w:lang w:val="en-US"/>
        </w:rPr>
        <w:t>exposition</w:t>
      </w:r>
      <w:r>
        <w:rPr>
          <w:rFonts w:ascii="Arial" w:hAnsi="Arial" w:cs="Arial"/>
          <w:sz w:val="24"/>
          <w:szCs w:val="24"/>
          <w:lang w:val="en-US"/>
        </w:rPr>
        <w:t xml:space="preserve"> factors several aspects as tobacco use 35.2%, this factor along with the exposition to the biomass smoke were identified at 32.8%. Regarding the health promotion behaviors, there was evidence of a low average in the dimensions related to physical activity and nutrition; a high average in their spiritual growth, in both, men and women. The 92.8% of the sample population were independent regarding basic activities of their daily life. Some statistically meaningful associations were identified in some dimensions of the health-promoting lifestyle Profile II with: age groups, supplementary oxygen use and biomass smoke exposition. </w:t>
      </w:r>
      <w:r w:rsidRPr="00E64D27">
        <w:rPr>
          <w:rFonts w:ascii="Arial" w:hAnsi="Arial" w:cs="Arial"/>
          <w:b/>
          <w:sz w:val="24"/>
          <w:szCs w:val="24"/>
          <w:lang w:val="en-US"/>
        </w:rPr>
        <w:t xml:space="preserve">Conclusion: </w:t>
      </w:r>
      <w:r w:rsidRPr="00E64D27">
        <w:rPr>
          <w:rFonts w:ascii="Arial" w:hAnsi="Arial" w:cs="Arial"/>
          <w:sz w:val="24"/>
          <w:szCs w:val="24"/>
          <w:lang w:val="en-US"/>
        </w:rPr>
        <w:t>At the end of this study, there was indication of unhealthy behaviors</w:t>
      </w:r>
      <w:r>
        <w:rPr>
          <w:rFonts w:ascii="Arial" w:hAnsi="Arial" w:cs="Arial"/>
          <w:sz w:val="24"/>
          <w:szCs w:val="24"/>
          <w:lang w:val="en-US"/>
        </w:rPr>
        <w:t xml:space="preserve"> in</w:t>
      </w:r>
      <w:r w:rsidRPr="00E64D27">
        <w:rPr>
          <w:rFonts w:ascii="Arial" w:hAnsi="Arial" w:cs="Arial"/>
          <w:sz w:val="24"/>
          <w:szCs w:val="24"/>
          <w:lang w:val="en-US"/>
        </w:rPr>
        <w:t xml:space="preserve"> a population who</w:t>
      </w:r>
      <w:r>
        <w:rPr>
          <w:rFonts w:ascii="Arial" w:hAnsi="Arial" w:cs="Arial"/>
          <w:sz w:val="24"/>
          <w:szCs w:val="24"/>
          <w:lang w:val="en-US"/>
        </w:rPr>
        <w:t xml:space="preserve"> still</w:t>
      </w:r>
      <w:r w:rsidRPr="00E64D27">
        <w:rPr>
          <w:rFonts w:ascii="Arial" w:hAnsi="Arial" w:cs="Arial"/>
          <w:sz w:val="24"/>
          <w:szCs w:val="24"/>
          <w:lang w:val="en-US"/>
        </w:rPr>
        <w:t xml:space="preserve"> presented</w:t>
      </w:r>
      <w:r>
        <w:rPr>
          <w:rFonts w:ascii="Arial" w:hAnsi="Arial" w:cs="Arial"/>
          <w:sz w:val="24"/>
          <w:szCs w:val="24"/>
          <w:lang w:val="en-US"/>
        </w:rPr>
        <w:t xml:space="preserve"> a good level of physical independence despite their clinical diagnosis and the predominant of exposition factors. The analysis of other </w:t>
      </w:r>
      <w:r w:rsidR="00952DF2">
        <w:rPr>
          <w:rFonts w:ascii="Arial" w:hAnsi="Arial" w:cs="Arial"/>
          <w:sz w:val="24"/>
          <w:szCs w:val="24"/>
          <w:lang w:val="en-US"/>
        </w:rPr>
        <w:t>factors, which</w:t>
      </w:r>
      <w:r>
        <w:rPr>
          <w:rFonts w:ascii="Arial" w:hAnsi="Arial" w:cs="Arial"/>
          <w:sz w:val="24"/>
          <w:szCs w:val="24"/>
          <w:lang w:val="en-US"/>
        </w:rPr>
        <w:t xml:space="preserve"> predict health promotion behaviors, is imperative.</w:t>
      </w:r>
    </w:p>
    <w:p w:rsidR="00FF0340" w:rsidRPr="0059663F" w:rsidRDefault="00FF0340" w:rsidP="00FF0340">
      <w:pPr>
        <w:spacing w:line="240" w:lineRule="auto"/>
        <w:jc w:val="both"/>
        <w:rPr>
          <w:rFonts w:ascii="Arial" w:hAnsi="Arial" w:cs="Arial"/>
          <w:sz w:val="24"/>
          <w:szCs w:val="24"/>
          <w:lang w:val="en-US"/>
        </w:rPr>
      </w:pPr>
      <w:r w:rsidRPr="008A6C16">
        <w:rPr>
          <w:rFonts w:ascii="Arial" w:hAnsi="Arial" w:cs="Arial"/>
          <w:b/>
          <w:sz w:val="24"/>
          <w:szCs w:val="24"/>
          <w:lang w:val="en-US"/>
        </w:rPr>
        <w:t xml:space="preserve">Key words: </w:t>
      </w:r>
      <w:r>
        <w:rPr>
          <w:rFonts w:ascii="Arial" w:hAnsi="Arial" w:cs="Arial"/>
          <w:sz w:val="24"/>
          <w:szCs w:val="24"/>
          <w:lang w:val="en-US"/>
        </w:rPr>
        <w:t>Lifestyle; Healthy behaviors; F</w:t>
      </w:r>
      <w:r w:rsidRPr="008A6C16">
        <w:rPr>
          <w:rFonts w:ascii="Arial" w:hAnsi="Arial" w:cs="Arial"/>
          <w:sz w:val="24"/>
          <w:szCs w:val="24"/>
          <w:lang w:val="en-US"/>
        </w:rPr>
        <w:t xml:space="preserve">unctional dependence; </w:t>
      </w:r>
      <w:r>
        <w:rPr>
          <w:rFonts w:ascii="Arial" w:hAnsi="Arial" w:cs="Arial"/>
          <w:sz w:val="24"/>
          <w:szCs w:val="24"/>
          <w:lang w:val="en-US"/>
        </w:rPr>
        <w:t>C</w:t>
      </w:r>
      <w:r w:rsidRPr="00D51020">
        <w:rPr>
          <w:rFonts w:ascii="Arial" w:hAnsi="Arial" w:cs="Arial"/>
          <w:sz w:val="24"/>
          <w:szCs w:val="24"/>
          <w:lang w:val="en-US"/>
        </w:rPr>
        <w:t>hronic obstructive pulmonary disease</w:t>
      </w:r>
      <w:r>
        <w:rPr>
          <w:rFonts w:ascii="Arial" w:hAnsi="Arial" w:cs="Arial"/>
          <w:sz w:val="24"/>
          <w:szCs w:val="24"/>
          <w:lang w:val="en-US"/>
        </w:rPr>
        <w:t xml:space="preserve"> (COPD).</w:t>
      </w:r>
    </w:p>
    <w:p w:rsidR="003A7250" w:rsidRDefault="003A7250" w:rsidP="00FF0340">
      <w:pPr>
        <w:spacing w:line="240" w:lineRule="auto"/>
        <w:jc w:val="both"/>
        <w:rPr>
          <w:rFonts w:ascii="Arial" w:hAnsi="Arial" w:cs="Arial"/>
          <w:b/>
          <w:sz w:val="24"/>
          <w:szCs w:val="24"/>
          <w:lang w:val="en-US"/>
        </w:rPr>
      </w:pPr>
    </w:p>
    <w:p w:rsidR="003A7250" w:rsidRPr="008440B3" w:rsidRDefault="003A7250" w:rsidP="003A7250">
      <w:pPr>
        <w:spacing w:line="240" w:lineRule="auto"/>
        <w:jc w:val="both"/>
        <w:rPr>
          <w:rFonts w:ascii="Arial" w:hAnsi="Arial" w:cs="Arial"/>
          <w:b/>
          <w:sz w:val="24"/>
          <w:szCs w:val="24"/>
          <w:lang w:val="es-ES"/>
        </w:rPr>
      </w:pPr>
      <w:r w:rsidRPr="008440B3">
        <w:rPr>
          <w:rFonts w:ascii="Arial" w:hAnsi="Arial" w:cs="Arial"/>
          <w:b/>
          <w:sz w:val="24"/>
          <w:szCs w:val="24"/>
          <w:lang w:val="es-ES"/>
        </w:rPr>
        <w:t>RESUMEN</w:t>
      </w:r>
    </w:p>
    <w:p w:rsidR="003A7250" w:rsidRPr="0059663F" w:rsidRDefault="003A7250" w:rsidP="003A7250">
      <w:pPr>
        <w:spacing w:line="240" w:lineRule="auto"/>
        <w:jc w:val="both"/>
        <w:rPr>
          <w:rFonts w:ascii="Arial" w:hAnsi="Arial" w:cs="Arial"/>
          <w:bCs/>
          <w:noProof/>
          <w:sz w:val="24"/>
          <w:szCs w:val="24"/>
        </w:rPr>
      </w:pPr>
      <w:r w:rsidRPr="008440B3">
        <w:rPr>
          <w:rFonts w:ascii="Arial" w:hAnsi="Arial" w:cs="Arial"/>
          <w:b/>
          <w:bCs/>
          <w:noProof/>
          <w:sz w:val="24"/>
          <w:szCs w:val="24"/>
        </w:rPr>
        <w:t>Objetivo:</w:t>
      </w:r>
      <w:r w:rsidRPr="008440B3">
        <w:rPr>
          <w:rFonts w:ascii="Arial" w:hAnsi="Arial" w:cs="Arial"/>
          <w:bCs/>
          <w:noProof/>
          <w:sz w:val="24"/>
          <w:szCs w:val="24"/>
        </w:rPr>
        <w:t xml:space="preserve"> </w:t>
      </w:r>
      <w:r>
        <w:rPr>
          <w:rFonts w:ascii="Arial" w:hAnsi="Arial" w:cs="Arial"/>
          <w:bCs/>
          <w:noProof/>
          <w:sz w:val="24"/>
          <w:szCs w:val="24"/>
        </w:rPr>
        <w:t>describir las conductas promotoras de salud y el grado de dependencia física</w:t>
      </w:r>
      <w:r w:rsidRPr="008440B3">
        <w:rPr>
          <w:rFonts w:ascii="Arial" w:hAnsi="Arial" w:cs="Arial"/>
          <w:bCs/>
          <w:noProof/>
          <w:sz w:val="24"/>
          <w:szCs w:val="24"/>
        </w:rPr>
        <w:t xml:space="preserve"> </w:t>
      </w:r>
      <w:r>
        <w:rPr>
          <w:rFonts w:ascii="Arial" w:hAnsi="Arial" w:cs="Arial"/>
          <w:bCs/>
          <w:noProof/>
          <w:sz w:val="24"/>
          <w:szCs w:val="24"/>
        </w:rPr>
        <w:t>en</w:t>
      </w:r>
      <w:r w:rsidRPr="008440B3">
        <w:rPr>
          <w:rFonts w:ascii="Arial" w:hAnsi="Arial" w:cs="Arial"/>
          <w:sz w:val="24"/>
          <w:szCs w:val="24"/>
        </w:rPr>
        <w:t xml:space="preserve"> personas</w:t>
      </w:r>
      <w:r>
        <w:rPr>
          <w:rFonts w:ascii="Arial" w:hAnsi="Arial" w:cs="Arial"/>
          <w:sz w:val="24"/>
          <w:szCs w:val="24"/>
        </w:rPr>
        <w:t xml:space="preserve"> con diagnóstico de Enfermedad Pulmonar Obstructiva Crónica (EPOC). </w:t>
      </w:r>
      <w:r w:rsidRPr="00733315">
        <w:rPr>
          <w:rFonts w:ascii="Arial" w:hAnsi="Arial" w:cs="Arial"/>
          <w:b/>
          <w:sz w:val="24"/>
          <w:szCs w:val="24"/>
        </w:rPr>
        <w:t>Metodología:</w:t>
      </w:r>
      <w:r>
        <w:rPr>
          <w:rFonts w:ascii="Arial" w:hAnsi="Arial" w:cs="Arial"/>
          <w:sz w:val="24"/>
          <w:szCs w:val="24"/>
        </w:rPr>
        <w:t xml:space="preserve"> e</w:t>
      </w:r>
      <w:r w:rsidRPr="008440B3">
        <w:rPr>
          <w:rFonts w:ascii="Arial" w:hAnsi="Arial" w:cs="Arial"/>
          <w:sz w:val="24"/>
          <w:szCs w:val="24"/>
        </w:rPr>
        <w:t>studio con</w:t>
      </w:r>
      <w:r w:rsidRPr="008440B3">
        <w:rPr>
          <w:rFonts w:ascii="Arial" w:hAnsi="Arial" w:cs="Arial"/>
          <w:bCs/>
          <w:noProof/>
          <w:sz w:val="24"/>
          <w:szCs w:val="24"/>
        </w:rPr>
        <w:t xml:space="preserve"> enfoque cuantitativo, de alcance correlacional en el que se obtuvo una muestra probabilística de</w:t>
      </w:r>
      <w:r w:rsidRPr="008440B3">
        <w:rPr>
          <w:rFonts w:ascii="Arial" w:hAnsi="Arial" w:cs="Arial"/>
          <w:b/>
          <w:bCs/>
          <w:noProof/>
          <w:sz w:val="24"/>
          <w:szCs w:val="24"/>
        </w:rPr>
        <w:t xml:space="preserve"> </w:t>
      </w:r>
      <w:r w:rsidRPr="008440B3">
        <w:rPr>
          <w:rFonts w:ascii="Arial" w:hAnsi="Arial" w:cs="Arial"/>
          <w:bCs/>
          <w:noProof/>
          <w:sz w:val="24"/>
          <w:szCs w:val="24"/>
        </w:rPr>
        <w:t>125 personas</w:t>
      </w:r>
      <w:r>
        <w:rPr>
          <w:rFonts w:ascii="Arial" w:hAnsi="Arial" w:cs="Arial"/>
          <w:bCs/>
          <w:noProof/>
          <w:sz w:val="24"/>
          <w:szCs w:val="24"/>
        </w:rPr>
        <w:t>. Se</w:t>
      </w:r>
      <w:r w:rsidRPr="008440B3">
        <w:rPr>
          <w:rFonts w:ascii="Arial" w:hAnsi="Arial" w:cs="Arial"/>
          <w:bCs/>
          <w:noProof/>
          <w:sz w:val="24"/>
          <w:szCs w:val="24"/>
        </w:rPr>
        <w:t xml:space="preserve"> aplicó la escala Estilo de Vida Promotor de Salud II</w:t>
      </w:r>
      <w:r>
        <w:rPr>
          <w:rFonts w:ascii="Arial" w:hAnsi="Arial" w:cs="Arial"/>
          <w:bCs/>
          <w:noProof/>
          <w:sz w:val="24"/>
          <w:szCs w:val="24"/>
        </w:rPr>
        <w:t xml:space="preserve"> (EVPSII) </w:t>
      </w:r>
      <w:r w:rsidRPr="008440B3">
        <w:rPr>
          <w:rFonts w:ascii="Arial" w:hAnsi="Arial" w:cs="Arial"/>
          <w:bCs/>
          <w:noProof/>
          <w:sz w:val="24"/>
          <w:szCs w:val="24"/>
        </w:rPr>
        <w:t>version en español</w:t>
      </w:r>
      <w:r>
        <w:rPr>
          <w:rFonts w:ascii="Arial" w:hAnsi="Arial" w:cs="Arial"/>
          <w:bCs/>
          <w:noProof/>
          <w:sz w:val="24"/>
          <w:szCs w:val="24"/>
        </w:rPr>
        <w:t xml:space="preserve"> y </w:t>
      </w:r>
      <w:r w:rsidRPr="008440B3">
        <w:rPr>
          <w:rFonts w:ascii="Arial" w:hAnsi="Arial" w:cs="Arial"/>
          <w:bCs/>
          <w:noProof/>
          <w:sz w:val="24"/>
          <w:szCs w:val="24"/>
        </w:rPr>
        <w:t>el Índice de B</w:t>
      </w:r>
      <w:r>
        <w:rPr>
          <w:rFonts w:ascii="Arial" w:hAnsi="Arial" w:cs="Arial"/>
          <w:bCs/>
          <w:noProof/>
          <w:sz w:val="24"/>
          <w:szCs w:val="24"/>
        </w:rPr>
        <w:t>arthel</w:t>
      </w:r>
      <w:r w:rsidRPr="008440B3">
        <w:rPr>
          <w:rFonts w:ascii="Arial" w:hAnsi="Arial" w:cs="Arial"/>
          <w:bCs/>
          <w:noProof/>
          <w:sz w:val="24"/>
          <w:szCs w:val="24"/>
        </w:rPr>
        <w:t>.</w:t>
      </w:r>
      <w:r>
        <w:rPr>
          <w:rFonts w:ascii="Arial" w:hAnsi="Arial" w:cs="Arial"/>
          <w:bCs/>
          <w:noProof/>
          <w:sz w:val="24"/>
          <w:szCs w:val="24"/>
        </w:rPr>
        <w:t xml:space="preserve"> </w:t>
      </w:r>
      <w:r w:rsidRPr="00733315">
        <w:rPr>
          <w:rFonts w:ascii="Arial" w:hAnsi="Arial" w:cs="Arial"/>
          <w:b/>
          <w:bCs/>
          <w:noProof/>
          <w:sz w:val="24"/>
          <w:szCs w:val="24"/>
        </w:rPr>
        <w:t>Resultados:</w:t>
      </w:r>
      <w:r>
        <w:rPr>
          <w:rFonts w:ascii="Arial" w:hAnsi="Arial" w:cs="Arial"/>
          <w:bCs/>
          <w:noProof/>
          <w:sz w:val="24"/>
          <w:szCs w:val="24"/>
        </w:rPr>
        <w:t xml:space="preserve"> e</w:t>
      </w:r>
      <w:r w:rsidRPr="00AA7BB8">
        <w:rPr>
          <w:rFonts w:ascii="Arial" w:hAnsi="Arial" w:cs="Arial"/>
          <w:bCs/>
          <w:noProof/>
          <w:sz w:val="24"/>
          <w:szCs w:val="24"/>
        </w:rPr>
        <w:t>l</w:t>
      </w:r>
      <w:r w:rsidRPr="009408F9">
        <w:rPr>
          <w:rFonts w:ascii="Arial" w:hAnsi="Arial" w:cs="Arial"/>
          <w:bCs/>
          <w:noProof/>
          <w:sz w:val="24"/>
          <w:szCs w:val="24"/>
        </w:rPr>
        <w:t xml:space="preserve"> </w:t>
      </w:r>
      <w:r>
        <w:rPr>
          <w:rFonts w:ascii="Arial" w:hAnsi="Arial" w:cs="Arial"/>
          <w:bCs/>
          <w:noProof/>
          <w:sz w:val="24"/>
          <w:szCs w:val="24"/>
        </w:rPr>
        <w:t xml:space="preserve">68,8% de los participantes </w:t>
      </w:r>
      <w:r w:rsidRPr="009408F9">
        <w:rPr>
          <w:rFonts w:ascii="Arial" w:hAnsi="Arial" w:cs="Arial"/>
          <w:bCs/>
          <w:noProof/>
          <w:sz w:val="24"/>
          <w:szCs w:val="24"/>
        </w:rPr>
        <w:t>eran</w:t>
      </w:r>
      <w:r>
        <w:rPr>
          <w:rFonts w:ascii="Arial" w:hAnsi="Arial" w:cs="Arial"/>
          <w:bCs/>
          <w:noProof/>
          <w:sz w:val="24"/>
          <w:szCs w:val="24"/>
        </w:rPr>
        <w:t xml:space="preserve"> del sexo femenino. El diagnóstico</w:t>
      </w:r>
      <w:r w:rsidRPr="009408F9">
        <w:rPr>
          <w:rFonts w:ascii="Arial" w:hAnsi="Arial" w:cs="Arial"/>
          <w:bCs/>
          <w:noProof/>
          <w:sz w:val="24"/>
          <w:szCs w:val="24"/>
        </w:rPr>
        <w:t xml:space="preserve"> mas </w:t>
      </w:r>
      <w:r>
        <w:rPr>
          <w:rFonts w:ascii="Arial" w:hAnsi="Arial" w:cs="Arial"/>
          <w:bCs/>
          <w:noProof/>
          <w:sz w:val="24"/>
          <w:szCs w:val="24"/>
        </w:rPr>
        <w:t>prevalente</w:t>
      </w:r>
      <w:r w:rsidRPr="009408F9">
        <w:rPr>
          <w:rFonts w:ascii="Arial" w:hAnsi="Arial" w:cs="Arial"/>
          <w:bCs/>
          <w:noProof/>
          <w:sz w:val="24"/>
          <w:szCs w:val="24"/>
        </w:rPr>
        <w:t xml:space="preserve"> fue la EPOC no especificada</w:t>
      </w:r>
      <w:r>
        <w:rPr>
          <w:rFonts w:ascii="Arial" w:hAnsi="Arial" w:cs="Arial"/>
          <w:bCs/>
          <w:noProof/>
          <w:sz w:val="24"/>
          <w:szCs w:val="24"/>
        </w:rPr>
        <w:t xml:space="preserve"> 67,2%. C</w:t>
      </w:r>
      <w:r w:rsidRPr="009408F9">
        <w:rPr>
          <w:rFonts w:ascii="Arial" w:hAnsi="Arial" w:cs="Arial"/>
          <w:bCs/>
          <w:noProof/>
          <w:sz w:val="24"/>
          <w:szCs w:val="24"/>
        </w:rPr>
        <w:t xml:space="preserve">omo factores de </w:t>
      </w:r>
      <w:r>
        <w:rPr>
          <w:rFonts w:ascii="Arial" w:hAnsi="Arial" w:cs="Arial"/>
          <w:bCs/>
          <w:noProof/>
          <w:sz w:val="24"/>
          <w:szCs w:val="24"/>
        </w:rPr>
        <w:t xml:space="preserve">exposición se identificaron, </w:t>
      </w:r>
      <w:r w:rsidRPr="009408F9">
        <w:rPr>
          <w:rFonts w:ascii="Arial" w:hAnsi="Arial" w:cs="Arial"/>
          <w:bCs/>
          <w:noProof/>
          <w:sz w:val="24"/>
          <w:szCs w:val="24"/>
        </w:rPr>
        <w:t xml:space="preserve">el </w:t>
      </w:r>
      <w:r w:rsidRPr="002B4A31">
        <w:rPr>
          <w:rFonts w:ascii="Arial" w:hAnsi="Arial" w:cs="Arial"/>
          <w:bCs/>
          <w:noProof/>
          <w:sz w:val="24"/>
          <w:szCs w:val="24"/>
        </w:rPr>
        <w:t xml:space="preserve">tabaquismo </w:t>
      </w:r>
      <w:r w:rsidRPr="002B4A31">
        <w:rPr>
          <w:rFonts w:ascii="Arial" w:hAnsi="Arial" w:cs="Arial"/>
          <w:color w:val="000000"/>
          <w:sz w:val="24"/>
          <w:szCs w:val="24"/>
        </w:rPr>
        <w:t>35,2%</w:t>
      </w:r>
      <w:r>
        <w:rPr>
          <w:rFonts w:ascii="Arial" w:hAnsi="Arial" w:cs="Arial"/>
          <w:color w:val="000000"/>
          <w:sz w:val="24"/>
          <w:szCs w:val="24"/>
        </w:rPr>
        <w:t>,</w:t>
      </w:r>
      <w:r w:rsidRPr="002B4A31">
        <w:rPr>
          <w:rFonts w:ascii="Arial" w:hAnsi="Arial" w:cs="Arial"/>
          <w:color w:val="000000"/>
          <w:sz w:val="24"/>
          <w:szCs w:val="24"/>
        </w:rPr>
        <w:t xml:space="preserve"> y</w:t>
      </w:r>
      <w:r w:rsidRPr="009408F9">
        <w:rPr>
          <w:rFonts w:ascii="Arial" w:hAnsi="Arial" w:cs="Arial"/>
          <w:color w:val="000000"/>
          <w:sz w:val="20"/>
          <w:szCs w:val="20"/>
        </w:rPr>
        <w:t xml:space="preserve"> </w:t>
      </w:r>
      <w:r w:rsidRPr="009408F9">
        <w:rPr>
          <w:rFonts w:ascii="Arial" w:hAnsi="Arial" w:cs="Arial"/>
          <w:noProof/>
          <w:sz w:val="24"/>
          <w:szCs w:val="24"/>
          <w:lang w:eastAsia="es-CO"/>
        </w:rPr>
        <w:t xml:space="preserve">este </w:t>
      </w:r>
      <w:r>
        <w:rPr>
          <w:rFonts w:ascii="Arial" w:hAnsi="Arial" w:cs="Arial"/>
          <w:noProof/>
          <w:sz w:val="24"/>
          <w:szCs w:val="24"/>
          <w:lang w:eastAsia="es-CO"/>
        </w:rPr>
        <w:t xml:space="preserve">mismo </w:t>
      </w:r>
      <w:r w:rsidRPr="009408F9">
        <w:rPr>
          <w:rFonts w:ascii="Arial" w:hAnsi="Arial" w:cs="Arial"/>
          <w:noProof/>
          <w:sz w:val="24"/>
          <w:szCs w:val="24"/>
          <w:lang w:eastAsia="es-CO"/>
        </w:rPr>
        <w:t xml:space="preserve">factor </w:t>
      </w:r>
      <w:r w:rsidRPr="002B4A31">
        <w:rPr>
          <w:rFonts w:ascii="Arial" w:hAnsi="Arial" w:cs="Arial"/>
          <w:noProof/>
          <w:sz w:val="24"/>
          <w:szCs w:val="24"/>
          <w:lang w:eastAsia="es-CO"/>
        </w:rPr>
        <w:t>combinado con la exposición al humo de biomasa</w:t>
      </w:r>
      <w:r>
        <w:rPr>
          <w:rFonts w:ascii="Arial" w:hAnsi="Arial" w:cs="Arial"/>
          <w:noProof/>
          <w:sz w:val="24"/>
          <w:szCs w:val="24"/>
          <w:lang w:eastAsia="es-CO"/>
        </w:rPr>
        <w:t xml:space="preserve"> en el 32,8%</w:t>
      </w:r>
      <w:r w:rsidRPr="002B4A31">
        <w:rPr>
          <w:rFonts w:ascii="Arial" w:hAnsi="Arial" w:cs="Arial"/>
          <w:bCs/>
          <w:noProof/>
          <w:sz w:val="24"/>
          <w:szCs w:val="24"/>
        </w:rPr>
        <w:t>. En cuanto a las conductas promotoras de salud</w:t>
      </w:r>
      <w:r>
        <w:rPr>
          <w:rFonts w:ascii="Arial" w:hAnsi="Arial" w:cs="Arial"/>
          <w:bCs/>
          <w:noProof/>
          <w:sz w:val="24"/>
          <w:szCs w:val="24"/>
        </w:rPr>
        <w:t>,</w:t>
      </w:r>
      <w:r w:rsidRPr="002B4A31">
        <w:rPr>
          <w:rFonts w:ascii="Arial" w:hAnsi="Arial" w:cs="Arial"/>
          <w:bCs/>
          <w:noProof/>
          <w:sz w:val="24"/>
          <w:szCs w:val="24"/>
        </w:rPr>
        <w:t xml:space="preserve"> se evidenciaron</w:t>
      </w:r>
      <w:r>
        <w:rPr>
          <w:rFonts w:ascii="Arial" w:hAnsi="Arial" w:cs="Arial"/>
          <w:bCs/>
          <w:noProof/>
          <w:sz w:val="24"/>
          <w:szCs w:val="24"/>
        </w:rPr>
        <w:t xml:space="preserve"> </w:t>
      </w:r>
      <w:r w:rsidRPr="002B4A31">
        <w:rPr>
          <w:rFonts w:ascii="Arial" w:hAnsi="Arial" w:cs="Arial"/>
          <w:bCs/>
          <w:noProof/>
          <w:sz w:val="24"/>
          <w:szCs w:val="24"/>
        </w:rPr>
        <w:t xml:space="preserve">bajos promedios en las dimensiones realcionadas con actividad física y </w:t>
      </w:r>
      <w:r>
        <w:rPr>
          <w:rFonts w:ascii="Arial" w:hAnsi="Arial" w:cs="Arial"/>
          <w:bCs/>
          <w:noProof/>
          <w:sz w:val="24"/>
          <w:szCs w:val="24"/>
        </w:rPr>
        <w:t>la nutrición; a</w:t>
      </w:r>
      <w:r w:rsidRPr="002B4A31">
        <w:rPr>
          <w:rFonts w:ascii="Arial" w:hAnsi="Arial" w:cs="Arial"/>
          <w:bCs/>
          <w:noProof/>
          <w:sz w:val="24"/>
          <w:szCs w:val="24"/>
        </w:rPr>
        <w:t>ltos promedios en el crecimiento espiritual</w:t>
      </w:r>
      <w:r>
        <w:rPr>
          <w:rFonts w:ascii="Arial" w:hAnsi="Arial" w:cs="Arial"/>
          <w:bCs/>
          <w:noProof/>
          <w:sz w:val="24"/>
          <w:szCs w:val="24"/>
        </w:rPr>
        <w:t>,</w:t>
      </w:r>
      <w:r w:rsidRPr="002B4A31">
        <w:rPr>
          <w:rFonts w:ascii="Arial" w:hAnsi="Arial" w:cs="Arial"/>
          <w:bCs/>
          <w:noProof/>
          <w:sz w:val="24"/>
          <w:szCs w:val="24"/>
        </w:rPr>
        <w:t xml:space="preserve"> tan</w:t>
      </w:r>
      <w:r>
        <w:rPr>
          <w:rFonts w:ascii="Arial" w:hAnsi="Arial" w:cs="Arial"/>
          <w:bCs/>
          <w:noProof/>
          <w:sz w:val="24"/>
          <w:szCs w:val="24"/>
        </w:rPr>
        <w:t xml:space="preserve">to </w:t>
      </w:r>
      <w:r w:rsidRPr="002B4A31">
        <w:rPr>
          <w:rFonts w:ascii="Arial" w:hAnsi="Arial" w:cs="Arial"/>
          <w:bCs/>
          <w:noProof/>
          <w:sz w:val="24"/>
          <w:szCs w:val="24"/>
        </w:rPr>
        <w:t>en hombres como en mujeres</w:t>
      </w:r>
      <w:r w:rsidRPr="00200E1D">
        <w:rPr>
          <w:rFonts w:ascii="Arial" w:hAnsi="Arial" w:cs="Arial"/>
          <w:bCs/>
          <w:noProof/>
          <w:sz w:val="24"/>
          <w:szCs w:val="24"/>
        </w:rPr>
        <w:t xml:space="preserve">. </w:t>
      </w:r>
      <w:r>
        <w:rPr>
          <w:rFonts w:ascii="Arial" w:hAnsi="Arial" w:cs="Arial"/>
          <w:bCs/>
          <w:noProof/>
          <w:sz w:val="24"/>
          <w:szCs w:val="24"/>
        </w:rPr>
        <w:t xml:space="preserve">El 92,8% de las personas eran independientes para las actividades básicas de la vida diaria. Se identificaron  asociaciones estadisticamente significativas en algunas dimensiones del EVPSII con: los grupos de edad, la utilización de oxígeno suplementario y la exposición al humo de biomasa. </w:t>
      </w:r>
      <w:r w:rsidRPr="00733315">
        <w:rPr>
          <w:rFonts w:ascii="Arial" w:hAnsi="Arial" w:cs="Arial"/>
          <w:b/>
          <w:bCs/>
          <w:noProof/>
          <w:sz w:val="24"/>
          <w:szCs w:val="24"/>
        </w:rPr>
        <w:t>Conclusión:</w:t>
      </w:r>
      <w:r>
        <w:rPr>
          <w:rFonts w:ascii="Arial" w:hAnsi="Arial" w:cs="Arial"/>
          <w:bCs/>
          <w:noProof/>
          <w:sz w:val="24"/>
          <w:szCs w:val="24"/>
        </w:rPr>
        <w:t xml:space="preserve"> s</w:t>
      </w:r>
      <w:r w:rsidRPr="00644E71">
        <w:rPr>
          <w:rFonts w:ascii="Arial" w:hAnsi="Arial" w:cs="Arial"/>
          <w:sz w:val="24"/>
          <w:szCs w:val="24"/>
        </w:rPr>
        <w:t xml:space="preserve">e </w:t>
      </w:r>
      <w:r>
        <w:rPr>
          <w:rFonts w:ascii="Arial" w:hAnsi="Arial" w:cs="Arial"/>
          <w:sz w:val="24"/>
          <w:szCs w:val="24"/>
        </w:rPr>
        <w:t xml:space="preserve">encontraron conductas poco saludables en una población que aun presentaba un buen nivel de independencia física a pesar de su diagnóstico clínico y de la prevalencia de factores de exposición. Es importante analizar otros factores que sean predictores de las conductas promotoras de salud. </w:t>
      </w:r>
    </w:p>
    <w:p w:rsidR="003A7250" w:rsidRPr="008440B3" w:rsidRDefault="003A7250" w:rsidP="003A7250">
      <w:pPr>
        <w:spacing w:line="240" w:lineRule="auto"/>
        <w:jc w:val="both"/>
        <w:rPr>
          <w:rFonts w:ascii="Arial" w:hAnsi="Arial" w:cs="Arial"/>
          <w:b/>
          <w:sz w:val="24"/>
          <w:szCs w:val="24"/>
          <w:lang w:val="es-ES"/>
        </w:rPr>
      </w:pPr>
      <w:r>
        <w:rPr>
          <w:rFonts w:ascii="Arial" w:hAnsi="Arial" w:cs="Arial"/>
          <w:b/>
          <w:sz w:val="24"/>
          <w:szCs w:val="24"/>
          <w:lang w:val="es-ES"/>
        </w:rPr>
        <w:t xml:space="preserve">Palabras Clave: </w:t>
      </w:r>
      <w:r w:rsidRPr="00A775FE">
        <w:rPr>
          <w:rFonts w:ascii="Arial" w:hAnsi="Arial" w:cs="Arial"/>
          <w:sz w:val="24"/>
          <w:szCs w:val="24"/>
          <w:lang w:val="es-ES"/>
        </w:rPr>
        <w:t>Estilo de vida</w:t>
      </w:r>
      <w:r>
        <w:rPr>
          <w:rFonts w:ascii="Arial" w:hAnsi="Arial" w:cs="Arial"/>
          <w:sz w:val="24"/>
          <w:szCs w:val="24"/>
          <w:lang w:val="es-ES"/>
        </w:rPr>
        <w:t>;</w:t>
      </w:r>
      <w:r w:rsidRPr="00A775FE">
        <w:rPr>
          <w:rFonts w:ascii="Arial" w:hAnsi="Arial" w:cs="Arial"/>
          <w:sz w:val="24"/>
          <w:szCs w:val="24"/>
          <w:lang w:val="es-ES"/>
        </w:rPr>
        <w:t xml:space="preserve"> </w:t>
      </w:r>
      <w:r>
        <w:rPr>
          <w:rFonts w:ascii="Arial" w:hAnsi="Arial" w:cs="Arial"/>
          <w:sz w:val="24"/>
          <w:szCs w:val="24"/>
          <w:lang w:val="es-ES"/>
        </w:rPr>
        <w:t>Conductas saludables; Dependencia funcional;</w:t>
      </w:r>
      <w:r w:rsidRPr="00A775FE">
        <w:rPr>
          <w:rFonts w:ascii="Arial" w:hAnsi="Arial" w:cs="Arial"/>
          <w:sz w:val="24"/>
          <w:szCs w:val="24"/>
          <w:lang w:val="es-ES"/>
        </w:rPr>
        <w:t xml:space="preserve"> Enfermedad pulmonar obstructiva crónica</w:t>
      </w:r>
      <w:r>
        <w:rPr>
          <w:rFonts w:ascii="Arial" w:hAnsi="Arial" w:cs="Arial"/>
          <w:sz w:val="24"/>
          <w:szCs w:val="24"/>
          <w:lang w:val="es-ES"/>
        </w:rPr>
        <w:t>.</w:t>
      </w:r>
    </w:p>
    <w:p w:rsidR="003A7250" w:rsidRPr="006A47E2" w:rsidRDefault="003A7250" w:rsidP="00FF0340">
      <w:pPr>
        <w:spacing w:line="240" w:lineRule="auto"/>
        <w:jc w:val="both"/>
        <w:rPr>
          <w:rFonts w:ascii="Arial" w:hAnsi="Arial" w:cs="Arial"/>
          <w:b/>
          <w:sz w:val="24"/>
          <w:szCs w:val="24"/>
          <w:lang w:val="en-US"/>
        </w:rPr>
      </w:pPr>
    </w:p>
    <w:p w:rsidR="00FF0340" w:rsidRPr="00952DF2" w:rsidRDefault="00FF0340" w:rsidP="00FF0340">
      <w:pPr>
        <w:spacing w:line="240" w:lineRule="auto"/>
        <w:jc w:val="both"/>
        <w:rPr>
          <w:rFonts w:ascii="Arial" w:hAnsi="Arial" w:cs="Arial"/>
          <w:b/>
          <w:sz w:val="24"/>
          <w:szCs w:val="24"/>
          <w:lang w:val="en-US"/>
        </w:rPr>
      </w:pPr>
      <w:r w:rsidRPr="00023685">
        <w:rPr>
          <w:rFonts w:ascii="Arial" w:hAnsi="Arial" w:cs="Arial"/>
          <w:b/>
          <w:sz w:val="24"/>
          <w:szCs w:val="24"/>
          <w:lang w:val="en-US"/>
        </w:rPr>
        <w:t>INTRODUC</w:t>
      </w:r>
      <w:r w:rsidR="00EA54EE">
        <w:rPr>
          <w:rFonts w:ascii="Arial" w:hAnsi="Arial" w:cs="Arial"/>
          <w:b/>
          <w:sz w:val="24"/>
          <w:szCs w:val="24"/>
          <w:lang w:val="en-US"/>
        </w:rPr>
        <w:t>TIO</w:t>
      </w:r>
      <w:r w:rsidRPr="00023685">
        <w:rPr>
          <w:rFonts w:ascii="Arial" w:hAnsi="Arial" w:cs="Arial"/>
          <w:b/>
          <w:sz w:val="24"/>
          <w:szCs w:val="24"/>
          <w:lang w:val="en-US"/>
        </w:rPr>
        <w:t>N</w:t>
      </w:r>
    </w:p>
    <w:p w:rsidR="00952DF2" w:rsidRDefault="00952DF2" w:rsidP="00FF0340">
      <w:pPr>
        <w:spacing w:line="240" w:lineRule="auto"/>
        <w:jc w:val="both"/>
        <w:rPr>
          <w:rFonts w:ascii="Arial" w:hAnsi="Arial" w:cs="Arial"/>
          <w:sz w:val="24"/>
          <w:szCs w:val="24"/>
          <w:lang w:val="en-US"/>
        </w:rPr>
      </w:pPr>
      <w:r w:rsidRPr="00952DF2">
        <w:rPr>
          <w:rFonts w:ascii="Arial" w:hAnsi="Arial" w:cs="Arial"/>
          <w:sz w:val="24"/>
          <w:szCs w:val="24"/>
          <w:lang w:val="en-US"/>
        </w:rPr>
        <w:t>The chronic obstructive pulmonary disease (COPD) is categorized within a group of non-communicable diseases</w:t>
      </w:r>
      <w:r w:rsidR="007F6019">
        <w:rPr>
          <w:rFonts w:ascii="Arial" w:hAnsi="Arial" w:cs="Arial"/>
          <w:sz w:val="24"/>
          <w:szCs w:val="24"/>
          <w:lang w:val="en-US"/>
        </w:rPr>
        <w:t xml:space="preserve"> which cause consists mostly in the issues produced by the tobacco consumption </w:t>
      </w:r>
      <w:r w:rsidR="007F6019" w:rsidRPr="007F6019">
        <w:rPr>
          <w:rFonts w:ascii="Arial" w:hAnsi="Arial" w:cs="Arial"/>
          <w:sz w:val="24"/>
          <w:szCs w:val="24"/>
          <w:vertAlign w:val="superscript"/>
          <w:lang w:val="en-US"/>
        </w:rPr>
        <w:t>(1)</w:t>
      </w:r>
      <w:r w:rsidR="007F6019">
        <w:rPr>
          <w:rFonts w:ascii="Arial" w:hAnsi="Arial" w:cs="Arial"/>
          <w:sz w:val="24"/>
          <w:szCs w:val="24"/>
          <w:lang w:val="en-US"/>
        </w:rPr>
        <w:t xml:space="preserve"> and for other factors </w:t>
      </w:r>
      <w:r w:rsidR="00150982">
        <w:rPr>
          <w:rFonts w:ascii="Arial" w:hAnsi="Arial" w:cs="Arial"/>
          <w:sz w:val="24"/>
          <w:szCs w:val="24"/>
          <w:lang w:val="en-US"/>
        </w:rPr>
        <w:t xml:space="preserve">of exposure (second-hand smoke, biomass smoke, history of pulmonary tuberculosis and occupational exposure) as possible promoters of this disease </w:t>
      </w:r>
      <w:r w:rsidR="00150982" w:rsidRPr="00150982">
        <w:rPr>
          <w:rFonts w:ascii="Arial" w:hAnsi="Arial" w:cs="Arial"/>
          <w:sz w:val="24"/>
          <w:szCs w:val="24"/>
          <w:vertAlign w:val="superscript"/>
          <w:lang w:val="en-US"/>
        </w:rPr>
        <w:t>(2,3)</w:t>
      </w:r>
      <w:r w:rsidR="00150982" w:rsidRPr="00150982">
        <w:rPr>
          <w:rFonts w:ascii="Arial" w:hAnsi="Arial" w:cs="Arial"/>
          <w:sz w:val="24"/>
          <w:szCs w:val="24"/>
          <w:lang w:val="en-US"/>
        </w:rPr>
        <w:t>.</w:t>
      </w:r>
      <w:r w:rsidR="00150982">
        <w:rPr>
          <w:rFonts w:ascii="Arial" w:hAnsi="Arial" w:cs="Arial"/>
          <w:sz w:val="24"/>
          <w:szCs w:val="24"/>
          <w:lang w:val="en-US"/>
        </w:rPr>
        <w:t xml:space="preserve"> </w:t>
      </w:r>
      <w:r w:rsidR="00150982" w:rsidRPr="00604300">
        <w:rPr>
          <w:rFonts w:ascii="Arial" w:hAnsi="Arial" w:cs="Arial"/>
          <w:sz w:val="24"/>
          <w:szCs w:val="24"/>
          <w:lang w:val="en-US"/>
        </w:rPr>
        <w:t xml:space="preserve">For the identification of the </w:t>
      </w:r>
      <w:r w:rsidR="00D66DDA" w:rsidRPr="00604300">
        <w:rPr>
          <w:rFonts w:ascii="Arial" w:hAnsi="Arial" w:cs="Arial"/>
          <w:sz w:val="24"/>
          <w:szCs w:val="24"/>
          <w:lang w:val="en-US"/>
        </w:rPr>
        <w:t>disease,</w:t>
      </w:r>
      <w:r w:rsidR="00150982" w:rsidRPr="00604300">
        <w:rPr>
          <w:rFonts w:ascii="Arial" w:hAnsi="Arial" w:cs="Arial"/>
          <w:sz w:val="24"/>
          <w:szCs w:val="24"/>
          <w:lang w:val="en-US"/>
        </w:rPr>
        <w:t xml:space="preserve"> </w:t>
      </w:r>
      <w:r w:rsidR="00604300" w:rsidRPr="00604300">
        <w:rPr>
          <w:rFonts w:ascii="Arial" w:hAnsi="Arial" w:cs="Arial"/>
          <w:sz w:val="24"/>
          <w:szCs w:val="24"/>
          <w:lang w:val="en-US"/>
        </w:rPr>
        <w:t xml:space="preserve">a clinical diagnostic must be </w:t>
      </w:r>
      <w:r w:rsidR="00604300">
        <w:rPr>
          <w:rFonts w:ascii="Arial" w:hAnsi="Arial" w:cs="Arial"/>
          <w:sz w:val="24"/>
          <w:szCs w:val="24"/>
          <w:lang w:val="en-US"/>
        </w:rPr>
        <w:t xml:space="preserve">considered in any person with these exposure factors, as well as symptoms like dyspnea, </w:t>
      </w:r>
      <w:r w:rsidR="00604300" w:rsidRPr="00604300">
        <w:rPr>
          <w:rFonts w:ascii="Arial" w:hAnsi="Arial" w:cs="Arial"/>
          <w:sz w:val="24"/>
          <w:szCs w:val="24"/>
          <w:lang w:val="en-US"/>
        </w:rPr>
        <w:t>chronic cough</w:t>
      </w:r>
      <w:r w:rsidR="00604300">
        <w:rPr>
          <w:rFonts w:ascii="Arial" w:hAnsi="Arial" w:cs="Arial"/>
          <w:sz w:val="24"/>
          <w:szCs w:val="24"/>
          <w:lang w:val="en-US"/>
        </w:rPr>
        <w:t xml:space="preserve">ing, or </w:t>
      </w:r>
      <w:r w:rsidR="00604300" w:rsidRPr="00604300">
        <w:rPr>
          <w:rFonts w:ascii="Arial" w:hAnsi="Arial" w:cs="Arial"/>
          <w:sz w:val="24"/>
          <w:szCs w:val="24"/>
          <w:lang w:val="en-US"/>
        </w:rPr>
        <w:t>sputum (phlegm) production</w:t>
      </w:r>
      <w:r w:rsidR="00604300">
        <w:rPr>
          <w:rFonts w:ascii="Arial" w:hAnsi="Arial" w:cs="Arial"/>
          <w:sz w:val="24"/>
          <w:szCs w:val="24"/>
          <w:lang w:val="en-US"/>
        </w:rPr>
        <w:t>.</w:t>
      </w:r>
    </w:p>
    <w:p w:rsidR="00B0514D" w:rsidRDefault="00B0514D" w:rsidP="00FF0340">
      <w:pPr>
        <w:spacing w:line="240" w:lineRule="auto"/>
        <w:jc w:val="both"/>
        <w:rPr>
          <w:rFonts w:ascii="Arial" w:hAnsi="Arial" w:cs="Arial"/>
          <w:sz w:val="24"/>
          <w:szCs w:val="24"/>
          <w:lang w:val="en-US"/>
        </w:rPr>
      </w:pPr>
      <w:r>
        <w:rPr>
          <w:rFonts w:ascii="Arial" w:hAnsi="Arial" w:cs="Arial"/>
          <w:sz w:val="24"/>
          <w:szCs w:val="24"/>
          <w:lang w:val="en-US"/>
        </w:rPr>
        <w:t>At respiratory</w:t>
      </w:r>
      <w:r w:rsidR="0095125B">
        <w:rPr>
          <w:rFonts w:ascii="Arial" w:hAnsi="Arial" w:cs="Arial"/>
          <w:sz w:val="24"/>
          <w:szCs w:val="24"/>
          <w:lang w:val="en-US"/>
        </w:rPr>
        <w:t xml:space="preserve"> level, there is a persistent limitation of airflow, as a unique feature of this pathology (</w:t>
      </w:r>
      <w:r w:rsidR="0095125B" w:rsidRPr="0095125B">
        <w:rPr>
          <w:rFonts w:ascii="Arial" w:hAnsi="Arial" w:cs="Arial"/>
          <w:sz w:val="24"/>
          <w:szCs w:val="24"/>
          <w:lang w:val="en-US"/>
        </w:rPr>
        <w:t>obstructive ventilatory alteration</w:t>
      </w:r>
      <w:r w:rsidR="0095125B">
        <w:rPr>
          <w:rFonts w:ascii="Arial" w:hAnsi="Arial" w:cs="Arial"/>
          <w:sz w:val="24"/>
          <w:szCs w:val="24"/>
          <w:lang w:val="en-US"/>
        </w:rPr>
        <w:t xml:space="preserve">), that can be confirmed with a </w:t>
      </w:r>
      <w:r w:rsidR="0095125B" w:rsidRPr="0095125B">
        <w:rPr>
          <w:rFonts w:ascii="Arial" w:hAnsi="Arial" w:cs="Arial"/>
          <w:sz w:val="24"/>
          <w:szCs w:val="24"/>
          <w:lang w:val="en-US"/>
        </w:rPr>
        <w:t>Spirometry</w:t>
      </w:r>
      <w:r w:rsidR="0095125B">
        <w:rPr>
          <w:rFonts w:ascii="Arial" w:hAnsi="Arial" w:cs="Arial"/>
          <w:sz w:val="24"/>
          <w:szCs w:val="24"/>
          <w:lang w:val="en-US"/>
        </w:rPr>
        <w:t xml:space="preserve"> </w:t>
      </w:r>
      <w:r w:rsidR="0095125B" w:rsidRPr="0095125B">
        <w:rPr>
          <w:rFonts w:ascii="Arial" w:hAnsi="Arial" w:cs="Arial"/>
          <w:sz w:val="24"/>
          <w:szCs w:val="24"/>
          <w:vertAlign w:val="superscript"/>
          <w:lang w:val="en-US"/>
        </w:rPr>
        <w:t>(4)</w:t>
      </w:r>
      <w:r w:rsidR="0095125B" w:rsidRPr="0095125B">
        <w:rPr>
          <w:rFonts w:ascii="Arial" w:hAnsi="Arial" w:cs="Arial"/>
          <w:sz w:val="24"/>
          <w:szCs w:val="24"/>
          <w:lang w:val="en-US"/>
        </w:rPr>
        <w:t>.</w:t>
      </w:r>
      <w:r w:rsidR="00D66DDA">
        <w:rPr>
          <w:rFonts w:ascii="Arial" w:hAnsi="Arial" w:cs="Arial"/>
          <w:sz w:val="24"/>
          <w:szCs w:val="24"/>
          <w:lang w:val="en-US"/>
        </w:rPr>
        <w:t xml:space="preserve"> At a systemic level, the </w:t>
      </w:r>
      <w:r w:rsidR="00D66DDA" w:rsidRPr="00D66DDA">
        <w:rPr>
          <w:rFonts w:ascii="Arial" w:hAnsi="Arial" w:cs="Arial"/>
          <w:sz w:val="24"/>
          <w:szCs w:val="24"/>
          <w:lang w:val="en-US"/>
        </w:rPr>
        <w:t>COPD</w:t>
      </w:r>
      <w:r w:rsidR="00D66DDA">
        <w:rPr>
          <w:rFonts w:ascii="Arial" w:hAnsi="Arial" w:cs="Arial"/>
          <w:sz w:val="24"/>
          <w:szCs w:val="24"/>
          <w:lang w:val="en-US"/>
        </w:rPr>
        <w:t xml:space="preserve"> produces a gradual loss of physical independence</w:t>
      </w:r>
      <w:r w:rsidR="003D5CF6">
        <w:rPr>
          <w:rFonts w:ascii="Arial" w:hAnsi="Arial" w:cs="Arial"/>
          <w:sz w:val="24"/>
          <w:szCs w:val="24"/>
          <w:lang w:val="en-US"/>
        </w:rPr>
        <w:t xml:space="preserve">, which </w:t>
      </w:r>
      <w:r w:rsidR="005C0D0F">
        <w:rPr>
          <w:rFonts w:ascii="Arial" w:hAnsi="Arial" w:cs="Arial"/>
          <w:sz w:val="24"/>
          <w:szCs w:val="24"/>
          <w:lang w:val="en-US"/>
        </w:rPr>
        <w:t xml:space="preserve">impedes a person to perform many </w:t>
      </w:r>
      <w:r w:rsidR="005C0D0F" w:rsidRPr="005C0D0F">
        <w:rPr>
          <w:rFonts w:ascii="Arial" w:hAnsi="Arial" w:cs="Arial"/>
          <w:sz w:val="24"/>
          <w:szCs w:val="24"/>
          <w:lang w:val="en-US"/>
        </w:rPr>
        <w:t>instrumental activities of daily living (IADLs)</w:t>
      </w:r>
      <w:r w:rsidR="006A47E2">
        <w:rPr>
          <w:rFonts w:ascii="Arial" w:hAnsi="Arial" w:cs="Arial"/>
          <w:sz w:val="24"/>
          <w:szCs w:val="24"/>
          <w:lang w:val="en-US"/>
        </w:rPr>
        <w:t xml:space="preserve"> </w:t>
      </w:r>
      <w:r w:rsidR="00627A08">
        <w:rPr>
          <w:rFonts w:ascii="Arial" w:hAnsi="Arial" w:cs="Arial"/>
          <w:sz w:val="24"/>
          <w:szCs w:val="24"/>
          <w:lang w:val="en-US"/>
        </w:rPr>
        <w:t>and basic activities, which</w:t>
      </w:r>
      <w:r w:rsidR="00406934">
        <w:rPr>
          <w:rFonts w:ascii="Arial" w:hAnsi="Arial" w:cs="Arial"/>
          <w:sz w:val="24"/>
          <w:szCs w:val="24"/>
          <w:lang w:val="en-US"/>
        </w:rPr>
        <w:t xml:space="preserve"> make part of </w:t>
      </w:r>
      <w:r w:rsidR="00627A08">
        <w:rPr>
          <w:rFonts w:ascii="Arial" w:hAnsi="Arial" w:cs="Arial"/>
          <w:sz w:val="24"/>
          <w:szCs w:val="24"/>
          <w:lang w:val="en-US"/>
        </w:rPr>
        <w:t xml:space="preserve">their daily living </w:t>
      </w:r>
      <w:r w:rsidR="00627A08" w:rsidRPr="00627A08">
        <w:rPr>
          <w:rFonts w:ascii="Arial" w:hAnsi="Arial" w:cs="Arial"/>
          <w:sz w:val="24"/>
          <w:szCs w:val="24"/>
          <w:vertAlign w:val="superscript"/>
          <w:lang w:val="en-US"/>
        </w:rPr>
        <w:t>(5,6)</w:t>
      </w:r>
      <w:r w:rsidR="00627A08" w:rsidRPr="00627A08">
        <w:rPr>
          <w:rFonts w:ascii="Arial" w:hAnsi="Arial" w:cs="Arial"/>
          <w:sz w:val="24"/>
          <w:szCs w:val="24"/>
          <w:lang w:val="en-US"/>
        </w:rPr>
        <w:t>.</w:t>
      </w:r>
      <w:r w:rsidR="00627A08">
        <w:rPr>
          <w:rFonts w:ascii="Arial" w:hAnsi="Arial" w:cs="Arial"/>
          <w:sz w:val="24"/>
          <w:szCs w:val="24"/>
          <w:lang w:val="en-US"/>
        </w:rPr>
        <w:t xml:space="preserve">  </w:t>
      </w:r>
      <w:r w:rsidR="00A742EC">
        <w:rPr>
          <w:rFonts w:ascii="Arial" w:hAnsi="Arial" w:cs="Arial"/>
          <w:sz w:val="24"/>
          <w:szCs w:val="24"/>
          <w:lang w:val="en-US"/>
        </w:rPr>
        <w:t>In ad</w:t>
      </w:r>
      <w:r w:rsidR="00E16D6E">
        <w:rPr>
          <w:rFonts w:ascii="Arial" w:hAnsi="Arial" w:cs="Arial"/>
          <w:sz w:val="24"/>
          <w:szCs w:val="24"/>
          <w:lang w:val="en-US"/>
        </w:rPr>
        <w:t>dition to this, in advanced stag</w:t>
      </w:r>
      <w:r w:rsidR="00A742EC">
        <w:rPr>
          <w:rFonts w:ascii="Arial" w:hAnsi="Arial" w:cs="Arial"/>
          <w:sz w:val="24"/>
          <w:szCs w:val="24"/>
          <w:lang w:val="en-US"/>
        </w:rPr>
        <w:t xml:space="preserve">es of the disease, the loss of functional capacity, generates a greater issue in the life of a person, due to the fact that the person must often face progressive symptoms and exacerbations, which requires a regular hospital care </w:t>
      </w:r>
      <w:r w:rsidR="009B7A15" w:rsidRPr="009B7A15">
        <w:rPr>
          <w:rFonts w:ascii="Arial" w:hAnsi="Arial" w:cs="Arial"/>
          <w:sz w:val="24"/>
          <w:szCs w:val="24"/>
          <w:vertAlign w:val="superscript"/>
          <w:lang w:val="en-US"/>
        </w:rPr>
        <w:t>(7,8,9)</w:t>
      </w:r>
      <w:r w:rsidR="009B7A15">
        <w:rPr>
          <w:rFonts w:ascii="Arial" w:hAnsi="Arial" w:cs="Arial"/>
          <w:sz w:val="24"/>
          <w:szCs w:val="24"/>
          <w:vertAlign w:val="superscript"/>
          <w:lang w:val="en-US"/>
        </w:rPr>
        <w:t xml:space="preserve"> </w:t>
      </w:r>
      <w:r w:rsidR="009B7A15">
        <w:rPr>
          <w:rFonts w:ascii="Arial" w:hAnsi="Arial" w:cs="Arial"/>
          <w:sz w:val="24"/>
          <w:szCs w:val="24"/>
          <w:lang w:val="en-US"/>
        </w:rPr>
        <w:t>and an increased demand of home</w:t>
      </w:r>
      <w:r w:rsidR="00E16D6E">
        <w:rPr>
          <w:rFonts w:ascii="Arial" w:hAnsi="Arial" w:cs="Arial"/>
          <w:sz w:val="24"/>
          <w:szCs w:val="24"/>
          <w:lang w:val="en-US"/>
        </w:rPr>
        <w:t xml:space="preserve"> </w:t>
      </w:r>
      <w:r w:rsidR="009B7A15">
        <w:rPr>
          <w:rFonts w:ascii="Arial" w:hAnsi="Arial" w:cs="Arial"/>
          <w:sz w:val="24"/>
          <w:szCs w:val="24"/>
          <w:lang w:val="en-US"/>
        </w:rPr>
        <w:t xml:space="preserve">care </w:t>
      </w:r>
      <w:r w:rsidR="009B7A15" w:rsidRPr="009B7A15">
        <w:rPr>
          <w:rFonts w:ascii="Arial" w:hAnsi="Arial" w:cs="Arial"/>
          <w:sz w:val="24"/>
          <w:szCs w:val="24"/>
          <w:vertAlign w:val="superscript"/>
          <w:lang w:val="en-US"/>
        </w:rPr>
        <w:t>(10,11)</w:t>
      </w:r>
      <w:r w:rsidR="009B7A15" w:rsidRPr="009B7A15">
        <w:rPr>
          <w:rFonts w:ascii="Arial" w:hAnsi="Arial" w:cs="Arial"/>
          <w:sz w:val="24"/>
          <w:szCs w:val="24"/>
          <w:lang w:val="en-US"/>
        </w:rPr>
        <w:t>.</w:t>
      </w:r>
      <w:r w:rsidR="009B7A15">
        <w:rPr>
          <w:rFonts w:ascii="Arial" w:hAnsi="Arial" w:cs="Arial"/>
          <w:sz w:val="24"/>
          <w:szCs w:val="24"/>
          <w:lang w:val="en-US"/>
        </w:rPr>
        <w:t>.</w:t>
      </w:r>
    </w:p>
    <w:p w:rsidR="00092E09" w:rsidRPr="00212CB3" w:rsidRDefault="009B7A15" w:rsidP="00FF0340">
      <w:pPr>
        <w:spacing w:line="240" w:lineRule="auto"/>
        <w:jc w:val="both"/>
        <w:rPr>
          <w:rFonts w:ascii="Arial" w:hAnsi="Arial" w:cs="Arial"/>
          <w:sz w:val="24"/>
          <w:szCs w:val="24"/>
          <w:lang w:val="en-US"/>
        </w:rPr>
      </w:pPr>
      <w:r>
        <w:rPr>
          <w:rFonts w:ascii="Arial" w:hAnsi="Arial" w:cs="Arial"/>
          <w:sz w:val="24"/>
          <w:szCs w:val="24"/>
          <w:lang w:val="en-US"/>
        </w:rPr>
        <w:t xml:space="preserve">In this sense, the progress of the disease is proportional to a bad prognosis and to the reduction of the quality of life </w:t>
      </w:r>
      <w:r w:rsidRPr="009B7A15">
        <w:rPr>
          <w:rFonts w:ascii="Arial" w:hAnsi="Arial" w:cs="Arial"/>
          <w:sz w:val="24"/>
          <w:szCs w:val="24"/>
          <w:vertAlign w:val="superscript"/>
          <w:lang w:val="en-US"/>
        </w:rPr>
        <w:t>(12,13,14)</w:t>
      </w:r>
      <w:r w:rsidRPr="009B7A15">
        <w:rPr>
          <w:rFonts w:ascii="Arial" w:hAnsi="Arial" w:cs="Arial"/>
          <w:sz w:val="24"/>
          <w:szCs w:val="24"/>
          <w:lang w:val="en-US"/>
        </w:rPr>
        <w:t>;</w:t>
      </w:r>
      <w:r>
        <w:rPr>
          <w:rFonts w:ascii="Arial" w:hAnsi="Arial" w:cs="Arial"/>
          <w:sz w:val="24"/>
          <w:szCs w:val="24"/>
          <w:lang w:val="en-US"/>
        </w:rPr>
        <w:t xml:space="preserve"> and as a consequence, the more s</w:t>
      </w:r>
      <w:r w:rsidRPr="009B7A15">
        <w:rPr>
          <w:rFonts w:ascii="Arial" w:hAnsi="Arial" w:cs="Arial"/>
          <w:sz w:val="24"/>
          <w:szCs w:val="24"/>
          <w:lang w:val="en-US"/>
        </w:rPr>
        <w:t xml:space="preserve">ymptomatically </w:t>
      </w:r>
      <w:r w:rsidR="004C4D53">
        <w:rPr>
          <w:rFonts w:ascii="Arial" w:hAnsi="Arial" w:cs="Arial"/>
          <w:sz w:val="24"/>
          <w:szCs w:val="24"/>
          <w:lang w:val="en-US"/>
        </w:rPr>
        <w:t>compromised</w:t>
      </w:r>
      <w:r w:rsidR="000C6413">
        <w:rPr>
          <w:rFonts w:ascii="Arial" w:hAnsi="Arial" w:cs="Arial"/>
          <w:sz w:val="24"/>
          <w:szCs w:val="24"/>
          <w:lang w:val="en-US"/>
        </w:rPr>
        <w:t xml:space="preserve"> the person is, the less possibility </w:t>
      </w:r>
      <w:r w:rsidR="007A6D8F">
        <w:rPr>
          <w:rFonts w:ascii="Arial" w:hAnsi="Arial" w:cs="Arial"/>
          <w:sz w:val="24"/>
          <w:szCs w:val="24"/>
          <w:lang w:val="en-US"/>
        </w:rPr>
        <w:t xml:space="preserve">to assume his condition of morbidity </w:t>
      </w:r>
      <w:r w:rsidR="008C0180">
        <w:rPr>
          <w:rFonts w:ascii="Arial" w:hAnsi="Arial" w:cs="Arial"/>
          <w:sz w:val="24"/>
          <w:szCs w:val="24"/>
          <w:lang w:val="en-US"/>
        </w:rPr>
        <w:t>and to self-regulate his health. For th</w:t>
      </w:r>
      <w:r w:rsidR="006E1C38">
        <w:rPr>
          <w:rFonts w:ascii="Arial" w:hAnsi="Arial" w:cs="Arial"/>
          <w:sz w:val="24"/>
          <w:szCs w:val="24"/>
          <w:lang w:val="en-US"/>
        </w:rPr>
        <w:t>ese reasons, people suffering from</w:t>
      </w:r>
      <w:r w:rsidR="008C0180">
        <w:rPr>
          <w:rFonts w:ascii="Arial" w:hAnsi="Arial" w:cs="Arial"/>
          <w:sz w:val="24"/>
          <w:szCs w:val="24"/>
          <w:lang w:val="en-US"/>
        </w:rPr>
        <w:t xml:space="preserve"> </w:t>
      </w:r>
      <w:r w:rsidR="008C0180" w:rsidRPr="00952DF2">
        <w:rPr>
          <w:rFonts w:ascii="Arial" w:hAnsi="Arial" w:cs="Arial"/>
          <w:sz w:val="24"/>
          <w:szCs w:val="24"/>
          <w:lang w:val="en-US"/>
        </w:rPr>
        <w:t>COPD</w:t>
      </w:r>
      <w:r w:rsidR="006E1C38">
        <w:rPr>
          <w:rFonts w:ascii="Arial" w:hAnsi="Arial" w:cs="Arial"/>
          <w:sz w:val="24"/>
          <w:szCs w:val="24"/>
          <w:lang w:val="en-US"/>
        </w:rPr>
        <w:t xml:space="preserve"> need support networks, which involve</w:t>
      </w:r>
      <w:r w:rsidR="008C0180">
        <w:rPr>
          <w:rFonts w:ascii="Arial" w:hAnsi="Arial" w:cs="Arial"/>
          <w:sz w:val="24"/>
          <w:szCs w:val="24"/>
          <w:lang w:val="en-US"/>
        </w:rPr>
        <w:t xml:space="preserve"> the patient’s family </w:t>
      </w:r>
      <w:r w:rsidR="00A736FA">
        <w:rPr>
          <w:rFonts w:ascii="Arial" w:hAnsi="Arial" w:cs="Arial"/>
          <w:sz w:val="24"/>
          <w:szCs w:val="24"/>
          <w:lang w:val="en-US"/>
        </w:rPr>
        <w:t>and</w:t>
      </w:r>
      <w:r w:rsidR="00F56177">
        <w:rPr>
          <w:rFonts w:ascii="Arial" w:hAnsi="Arial" w:cs="Arial"/>
          <w:sz w:val="24"/>
          <w:szCs w:val="24"/>
          <w:lang w:val="en-US"/>
        </w:rPr>
        <w:t xml:space="preserve"> the assistance </w:t>
      </w:r>
      <w:r w:rsidR="006E1C38">
        <w:rPr>
          <w:rFonts w:ascii="Arial" w:hAnsi="Arial" w:cs="Arial"/>
          <w:sz w:val="24"/>
          <w:szCs w:val="24"/>
          <w:lang w:val="en-US"/>
        </w:rPr>
        <w:t xml:space="preserve">given </w:t>
      </w:r>
      <w:r w:rsidR="00F56177">
        <w:rPr>
          <w:rFonts w:ascii="Arial" w:hAnsi="Arial" w:cs="Arial"/>
          <w:sz w:val="24"/>
          <w:szCs w:val="24"/>
          <w:lang w:val="en-US"/>
        </w:rPr>
        <w:t xml:space="preserve">from </w:t>
      </w:r>
      <w:r w:rsidR="006E1C38">
        <w:rPr>
          <w:rFonts w:ascii="Arial" w:hAnsi="Arial" w:cs="Arial"/>
          <w:sz w:val="24"/>
          <w:szCs w:val="24"/>
          <w:lang w:val="en-US"/>
        </w:rPr>
        <w:t xml:space="preserve">his nursing care institution. This aspect will </w:t>
      </w:r>
      <w:r w:rsidR="00F56177">
        <w:rPr>
          <w:rFonts w:ascii="Arial" w:hAnsi="Arial" w:cs="Arial"/>
          <w:sz w:val="24"/>
          <w:szCs w:val="24"/>
          <w:lang w:val="en-US"/>
        </w:rPr>
        <w:t xml:space="preserve">help him to understand the process of his disease and to favor a </w:t>
      </w:r>
      <w:r w:rsidR="00107DC8">
        <w:rPr>
          <w:rFonts w:ascii="Arial" w:hAnsi="Arial" w:cs="Arial"/>
          <w:sz w:val="24"/>
          <w:szCs w:val="24"/>
          <w:lang w:val="en-US"/>
        </w:rPr>
        <w:t>health-</w:t>
      </w:r>
      <w:r w:rsidR="00A736FA">
        <w:rPr>
          <w:rFonts w:ascii="Arial" w:hAnsi="Arial" w:cs="Arial"/>
          <w:sz w:val="24"/>
          <w:szCs w:val="24"/>
          <w:lang w:val="en-US"/>
        </w:rPr>
        <w:t xml:space="preserve">promoting </w:t>
      </w:r>
      <w:r w:rsidR="00F56177">
        <w:rPr>
          <w:rFonts w:ascii="Arial" w:hAnsi="Arial" w:cs="Arial"/>
          <w:sz w:val="24"/>
          <w:szCs w:val="24"/>
          <w:lang w:val="en-US"/>
        </w:rPr>
        <w:t xml:space="preserve">lifestyle </w:t>
      </w:r>
      <w:r w:rsidR="006E1C38">
        <w:rPr>
          <w:rFonts w:ascii="Arial" w:hAnsi="Arial" w:cs="Arial"/>
          <w:sz w:val="24"/>
          <w:szCs w:val="24"/>
          <w:lang w:val="en-US"/>
        </w:rPr>
        <w:t>(HPL)</w:t>
      </w:r>
      <w:r w:rsidR="006D24FE">
        <w:rPr>
          <w:rFonts w:ascii="Arial" w:hAnsi="Arial" w:cs="Arial"/>
          <w:sz w:val="24"/>
          <w:szCs w:val="24"/>
          <w:lang w:val="en-US"/>
        </w:rPr>
        <w:t xml:space="preserve"> indispensable for the control of the exposition factors, the symptoms control, and </w:t>
      </w:r>
      <w:r w:rsidR="00212CB3">
        <w:rPr>
          <w:rFonts w:ascii="Arial" w:hAnsi="Arial" w:cs="Arial"/>
          <w:sz w:val="24"/>
          <w:szCs w:val="24"/>
          <w:lang w:val="en-US"/>
        </w:rPr>
        <w:t>for the</w:t>
      </w:r>
      <w:r w:rsidR="006D24FE">
        <w:rPr>
          <w:rFonts w:ascii="Arial" w:hAnsi="Arial" w:cs="Arial"/>
          <w:sz w:val="24"/>
          <w:szCs w:val="24"/>
          <w:lang w:val="en-US"/>
        </w:rPr>
        <w:t xml:space="preserve"> improve</w:t>
      </w:r>
      <w:r w:rsidR="00212CB3">
        <w:rPr>
          <w:rFonts w:ascii="Arial" w:hAnsi="Arial" w:cs="Arial"/>
          <w:sz w:val="24"/>
          <w:szCs w:val="24"/>
          <w:lang w:val="en-US"/>
        </w:rPr>
        <w:t>ment of his</w:t>
      </w:r>
      <w:r w:rsidR="006D24FE">
        <w:rPr>
          <w:rFonts w:ascii="Arial" w:hAnsi="Arial" w:cs="Arial"/>
          <w:sz w:val="24"/>
          <w:szCs w:val="24"/>
          <w:lang w:val="en-US"/>
        </w:rPr>
        <w:t xml:space="preserve"> adherence to the pharmacological and non-pharm</w:t>
      </w:r>
      <w:r w:rsidR="00212CB3">
        <w:rPr>
          <w:rFonts w:ascii="Arial" w:hAnsi="Arial" w:cs="Arial"/>
          <w:sz w:val="24"/>
          <w:szCs w:val="24"/>
          <w:lang w:val="en-US"/>
        </w:rPr>
        <w:t>acological treatment. All these,</w:t>
      </w:r>
      <w:r w:rsidR="006D24FE">
        <w:rPr>
          <w:rFonts w:ascii="Arial" w:hAnsi="Arial" w:cs="Arial"/>
          <w:sz w:val="24"/>
          <w:szCs w:val="24"/>
          <w:lang w:val="en-US"/>
        </w:rPr>
        <w:t xml:space="preserve"> with the purpose of promoting </w:t>
      </w:r>
      <w:r w:rsidR="006E1C38">
        <w:rPr>
          <w:rFonts w:ascii="Arial" w:hAnsi="Arial" w:cs="Arial"/>
          <w:sz w:val="24"/>
          <w:szCs w:val="24"/>
          <w:lang w:val="en-US"/>
        </w:rPr>
        <w:t xml:space="preserve">conducts </w:t>
      </w:r>
      <w:r w:rsidR="00212CB3">
        <w:rPr>
          <w:rFonts w:ascii="Arial" w:hAnsi="Arial" w:cs="Arial"/>
          <w:sz w:val="24"/>
          <w:szCs w:val="24"/>
          <w:lang w:val="en-US"/>
        </w:rPr>
        <w:t xml:space="preserve">for the patient’s own care which endeavor for a better quality of life, to the extent permitted by the developmental process of his disease </w:t>
      </w:r>
      <w:r w:rsidR="00212CB3" w:rsidRPr="00212CB3">
        <w:rPr>
          <w:rFonts w:ascii="Arial" w:hAnsi="Arial" w:cs="Arial"/>
          <w:sz w:val="24"/>
          <w:szCs w:val="24"/>
          <w:vertAlign w:val="superscript"/>
          <w:lang w:val="en-US"/>
        </w:rPr>
        <w:t>(15,16)</w:t>
      </w:r>
      <w:r w:rsidR="00212CB3" w:rsidRPr="00212CB3">
        <w:rPr>
          <w:rFonts w:ascii="Arial" w:hAnsi="Arial" w:cs="Arial"/>
          <w:sz w:val="24"/>
          <w:szCs w:val="24"/>
          <w:lang w:val="en-US"/>
        </w:rPr>
        <w:t>.</w:t>
      </w:r>
    </w:p>
    <w:p w:rsidR="00092E09" w:rsidRDefault="00212CB3" w:rsidP="00FF0340">
      <w:pPr>
        <w:spacing w:line="240" w:lineRule="auto"/>
        <w:jc w:val="both"/>
        <w:rPr>
          <w:rFonts w:ascii="Arial" w:hAnsi="Arial" w:cs="Arial"/>
          <w:sz w:val="24"/>
          <w:szCs w:val="24"/>
          <w:lang w:val="en-US"/>
        </w:rPr>
      </w:pPr>
      <w:r>
        <w:rPr>
          <w:rFonts w:ascii="Arial" w:hAnsi="Arial" w:cs="Arial"/>
          <w:sz w:val="24"/>
          <w:szCs w:val="24"/>
          <w:lang w:val="en-US"/>
        </w:rPr>
        <w:t xml:space="preserve">In this regard, </w:t>
      </w:r>
      <w:r w:rsidR="00006A32">
        <w:rPr>
          <w:rFonts w:ascii="Arial" w:hAnsi="Arial" w:cs="Arial"/>
          <w:sz w:val="24"/>
          <w:szCs w:val="24"/>
          <w:lang w:val="en-US"/>
        </w:rPr>
        <w:t xml:space="preserve">It is important to offer the patient from his primary assistance, the possibility to be </w:t>
      </w:r>
      <w:r w:rsidR="00AE1672">
        <w:rPr>
          <w:rFonts w:ascii="Arial" w:hAnsi="Arial" w:cs="Arial"/>
          <w:sz w:val="24"/>
          <w:szCs w:val="24"/>
          <w:lang w:val="en-US"/>
        </w:rPr>
        <w:t>supported</w:t>
      </w:r>
      <w:r w:rsidR="008D25CB">
        <w:rPr>
          <w:rFonts w:ascii="Arial" w:hAnsi="Arial" w:cs="Arial"/>
          <w:sz w:val="24"/>
          <w:szCs w:val="24"/>
          <w:lang w:val="en-US"/>
        </w:rPr>
        <w:t xml:space="preserve"> not only </w:t>
      </w:r>
      <w:r w:rsidR="00AE1672">
        <w:rPr>
          <w:rFonts w:ascii="Arial" w:hAnsi="Arial" w:cs="Arial"/>
          <w:sz w:val="24"/>
          <w:szCs w:val="24"/>
          <w:lang w:val="en-US"/>
        </w:rPr>
        <w:t xml:space="preserve">on </w:t>
      </w:r>
      <w:r w:rsidR="00B02318">
        <w:rPr>
          <w:rFonts w:ascii="Arial" w:hAnsi="Arial" w:cs="Arial"/>
          <w:sz w:val="24"/>
          <w:szCs w:val="24"/>
          <w:lang w:val="en-US"/>
        </w:rPr>
        <w:t>his clinical matters</w:t>
      </w:r>
      <w:r w:rsidR="008D25CB">
        <w:rPr>
          <w:rFonts w:ascii="Arial" w:hAnsi="Arial" w:cs="Arial"/>
          <w:sz w:val="24"/>
          <w:szCs w:val="24"/>
          <w:lang w:val="en-US"/>
        </w:rPr>
        <w:t xml:space="preserve"> but </w:t>
      </w:r>
      <w:r w:rsidR="00006A32">
        <w:rPr>
          <w:rFonts w:ascii="Arial" w:hAnsi="Arial" w:cs="Arial"/>
          <w:sz w:val="24"/>
          <w:szCs w:val="24"/>
          <w:lang w:val="en-US"/>
        </w:rPr>
        <w:t xml:space="preserve">also on the </w:t>
      </w:r>
      <w:r w:rsidR="00686E43">
        <w:rPr>
          <w:rFonts w:ascii="Arial" w:hAnsi="Arial" w:cs="Arial"/>
          <w:sz w:val="24"/>
          <w:szCs w:val="24"/>
          <w:lang w:val="en-US"/>
        </w:rPr>
        <w:t xml:space="preserve">support </w:t>
      </w:r>
      <w:r w:rsidR="00006A32">
        <w:rPr>
          <w:rFonts w:ascii="Arial" w:hAnsi="Arial" w:cs="Arial"/>
          <w:sz w:val="24"/>
          <w:szCs w:val="24"/>
          <w:lang w:val="en-US"/>
        </w:rPr>
        <w:t xml:space="preserve">he needs for </w:t>
      </w:r>
      <w:r w:rsidR="00AE1672">
        <w:rPr>
          <w:rFonts w:ascii="Arial" w:hAnsi="Arial" w:cs="Arial"/>
          <w:sz w:val="24"/>
          <w:szCs w:val="24"/>
          <w:lang w:val="en-US"/>
        </w:rPr>
        <w:t>the identification of more</w:t>
      </w:r>
      <w:r w:rsidR="00DA2B43">
        <w:rPr>
          <w:rFonts w:ascii="Arial" w:hAnsi="Arial" w:cs="Arial"/>
          <w:sz w:val="24"/>
          <w:szCs w:val="24"/>
          <w:lang w:val="en-US"/>
        </w:rPr>
        <w:t xml:space="preserve"> </w:t>
      </w:r>
      <w:r w:rsidR="00AE1672">
        <w:rPr>
          <w:rFonts w:ascii="Arial" w:hAnsi="Arial" w:cs="Arial"/>
          <w:sz w:val="24"/>
          <w:szCs w:val="24"/>
          <w:lang w:val="en-US"/>
        </w:rPr>
        <w:t>benefits than</w:t>
      </w:r>
      <w:r w:rsidR="00DA2B43">
        <w:rPr>
          <w:rFonts w:ascii="Arial" w:hAnsi="Arial" w:cs="Arial"/>
          <w:sz w:val="24"/>
          <w:szCs w:val="24"/>
          <w:lang w:val="en-US"/>
        </w:rPr>
        <w:t xml:space="preserve"> </w:t>
      </w:r>
      <w:r w:rsidR="00686E43">
        <w:rPr>
          <w:rFonts w:ascii="Arial" w:hAnsi="Arial" w:cs="Arial"/>
          <w:sz w:val="24"/>
          <w:szCs w:val="24"/>
          <w:lang w:val="en-US"/>
        </w:rPr>
        <w:t>barriers</w:t>
      </w:r>
      <w:r w:rsidR="00A83AD0">
        <w:rPr>
          <w:rFonts w:ascii="Arial" w:hAnsi="Arial" w:cs="Arial"/>
          <w:sz w:val="24"/>
          <w:szCs w:val="24"/>
          <w:lang w:val="en-US"/>
        </w:rPr>
        <w:t xml:space="preserve"> he might have</w:t>
      </w:r>
      <w:r w:rsidR="00686E43">
        <w:rPr>
          <w:rFonts w:ascii="Arial" w:hAnsi="Arial" w:cs="Arial"/>
          <w:sz w:val="24"/>
          <w:szCs w:val="24"/>
          <w:lang w:val="en-US"/>
        </w:rPr>
        <w:t xml:space="preserve"> perceived </w:t>
      </w:r>
      <w:r w:rsidR="00A83AD0">
        <w:rPr>
          <w:rFonts w:ascii="Arial" w:hAnsi="Arial" w:cs="Arial"/>
          <w:sz w:val="24"/>
          <w:szCs w:val="24"/>
          <w:lang w:val="en-US"/>
        </w:rPr>
        <w:t>regarding his health maintenance</w:t>
      </w:r>
      <w:r w:rsidR="00006A32">
        <w:rPr>
          <w:rFonts w:ascii="Arial" w:hAnsi="Arial" w:cs="Arial"/>
          <w:sz w:val="24"/>
          <w:szCs w:val="24"/>
          <w:lang w:val="en-US"/>
        </w:rPr>
        <w:t>.</w:t>
      </w:r>
      <w:r w:rsidR="00A83AD0">
        <w:rPr>
          <w:rFonts w:ascii="Arial" w:hAnsi="Arial" w:cs="Arial"/>
          <w:sz w:val="24"/>
          <w:szCs w:val="24"/>
          <w:lang w:val="en-US"/>
        </w:rPr>
        <w:t xml:space="preserve"> </w:t>
      </w:r>
      <w:r w:rsidR="00006A32">
        <w:rPr>
          <w:rFonts w:ascii="Arial" w:hAnsi="Arial" w:cs="Arial"/>
          <w:sz w:val="24"/>
          <w:szCs w:val="24"/>
          <w:lang w:val="en-US"/>
        </w:rPr>
        <w:t xml:space="preserve">This assistance </w:t>
      </w:r>
      <w:r w:rsidR="00A83AD0">
        <w:rPr>
          <w:rFonts w:ascii="Arial" w:hAnsi="Arial" w:cs="Arial"/>
          <w:sz w:val="24"/>
          <w:szCs w:val="24"/>
          <w:lang w:val="en-US"/>
        </w:rPr>
        <w:t>will a</w:t>
      </w:r>
      <w:r w:rsidR="00006A32">
        <w:rPr>
          <w:rFonts w:ascii="Arial" w:hAnsi="Arial" w:cs="Arial"/>
          <w:sz w:val="24"/>
          <w:szCs w:val="24"/>
          <w:lang w:val="en-US"/>
        </w:rPr>
        <w:t xml:space="preserve">llow the patient to have </w:t>
      </w:r>
      <w:r w:rsidR="00B02318">
        <w:rPr>
          <w:rFonts w:ascii="Arial" w:hAnsi="Arial" w:cs="Arial"/>
          <w:sz w:val="24"/>
          <w:szCs w:val="24"/>
          <w:lang w:val="en-US"/>
        </w:rPr>
        <w:t xml:space="preserve">a </w:t>
      </w:r>
      <w:r w:rsidR="00006A32">
        <w:rPr>
          <w:rFonts w:ascii="Arial" w:hAnsi="Arial" w:cs="Arial"/>
          <w:sz w:val="24"/>
          <w:szCs w:val="24"/>
          <w:lang w:val="en-US"/>
        </w:rPr>
        <w:t xml:space="preserve">certain commitment </w:t>
      </w:r>
      <w:r w:rsidR="00A83AD0">
        <w:rPr>
          <w:rFonts w:ascii="Arial" w:hAnsi="Arial" w:cs="Arial"/>
          <w:sz w:val="24"/>
          <w:szCs w:val="24"/>
          <w:lang w:val="en-US"/>
        </w:rPr>
        <w:t xml:space="preserve">with an action plan that </w:t>
      </w:r>
      <w:r w:rsidR="00006A32">
        <w:rPr>
          <w:rFonts w:ascii="Arial" w:hAnsi="Arial" w:cs="Arial"/>
          <w:sz w:val="24"/>
          <w:szCs w:val="24"/>
          <w:lang w:val="en-US"/>
        </w:rPr>
        <w:t>can modify</w:t>
      </w:r>
      <w:r w:rsidR="00A83AD0">
        <w:rPr>
          <w:rFonts w:ascii="Arial" w:hAnsi="Arial" w:cs="Arial"/>
          <w:sz w:val="24"/>
          <w:szCs w:val="24"/>
          <w:lang w:val="en-US"/>
        </w:rPr>
        <w:t xml:space="preserve"> his</w:t>
      </w:r>
      <w:r w:rsidR="00006A32">
        <w:rPr>
          <w:rFonts w:ascii="Arial" w:hAnsi="Arial" w:cs="Arial"/>
          <w:sz w:val="24"/>
          <w:szCs w:val="24"/>
          <w:lang w:val="en-US"/>
        </w:rPr>
        <w:t xml:space="preserve"> lifestyle and fosters an increased well-being</w:t>
      </w:r>
      <w:r w:rsidR="00A83AD0">
        <w:rPr>
          <w:rFonts w:ascii="Arial" w:hAnsi="Arial" w:cs="Arial"/>
          <w:sz w:val="24"/>
          <w:szCs w:val="24"/>
          <w:lang w:val="en-US"/>
        </w:rPr>
        <w:t>.</w:t>
      </w:r>
    </w:p>
    <w:p w:rsidR="00806DF3" w:rsidRDefault="00A077D0" w:rsidP="00FF0340">
      <w:pPr>
        <w:spacing w:line="240" w:lineRule="auto"/>
        <w:jc w:val="both"/>
        <w:rPr>
          <w:rFonts w:ascii="Arial" w:hAnsi="Arial" w:cs="Arial"/>
          <w:sz w:val="24"/>
          <w:szCs w:val="24"/>
          <w:lang w:val="en-US"/>
        </w:rPr>
      </w:pPr>
      <w:r w:rsidRPr="00A077D0">
        <w:rPr>
          <w:rFonts w:ascii="Arial" w:hAnsi="Arial" w:cs="Arial"/>
          <w:sz w:val="24"/>
          <w:szCs w:val="24"/>
          <w:lang w:val="en-US"/>
        </w:rPr>
        <w:t xml:space="preserve">In many </w:t>
      </w:r>
      <w:r w:rsidR="00E250B6" w:rsidRPr="00A077D0">
        <w:rPr>
          <w:rFonts w:ascii="Arial" w:hAnsi="Arial" w:cs="Arial"/>
          <w:sz w:val="24"/>
          <w:szCs w:val="24"/>
          <w:lang w:val="en-US"/>
        </w:rPr>
        <w:t>occasions,</w:t>
      </w:r>
      <w:r w:rsidRPr="00A077D0">
        <w:rPr>
          <w:rFonts w:ascii="Arial" w:hAnsi="Arial" w:cs="Arial"/>
          <w:sz w:val="24"/>
          <w:szCs w:val="24"/>
          <w:lang w:val="en-US"/>
        </w:rPr>
        <w:t xml:space="preserve"> the health promotion behaviors are not achieved </w:t>
      </w:r>
      <w:r w:rsidR="00E250B6" w:rsidRPr="00A077D0">
        <w:rPr>
          <w:rFonts w:ascii="Arial" w:hAnsi="Arial" w:cs="Arial"/>
          <w:sz w:val="24"/>
          <w:szCs w:val="24"/>
          <w:lang w:val="en-US"/>
        </w:rPr>
        <w:t>because</w:t>
      </w:r>
      <w:r w:rsidRPr="00A077D0">
        <w:rPr>
          <w:rFonts w:ascii="Arial" w:hAnsi="Arial" w:cs="Arial"/>
          <w:sz w:val="24"/>
          <w:szCs w:val="24"/>
          <w:lang w:val="en-US"/>
        </w:rPr>
        <w:t xml:space="preserve"> the </w:t>
      </w:r>
      <w:r w:rsidR="00B466B8">
        <w:rPr>
          <w:rFonts w:ascii="Arial" w:hAnsi="Arial" w:cs="Arial"/>
          <w:sz w:val="24"/>
          <w:szCs w:val="24"/>
          <w:lang w:val="en-US"/>
        </w:rPr>
        <w:t xml:space="preserve">person </w:t>
      </w:r>
      <w:r w:rsidRPr="00A077D0">
        <w:rPr>
          <w:rFonts w:ascii="Arial" w:hAnsi="Arial" w:cs="Arial"/>
          <w:sz w:val="24"/>
          <w:szCs w:val="24"/>
          <w:lang w:val="en-US"/>
        </w:rPr>
        <w:t xml:space="preserve">does not count with </w:t>
      </w:r>
      <w:r w:rsidR="00B466B8">
        <w:rPr>
          <w:rFonts w:ascii="Arial" w:hAnsi="Arial" w:cs="Arial"/>
          <w:sz w:val="24"/>
          <w:szCs w:val="24"/>
          <w:lang w:val="en-US"/>
        </w:rPr>
        <w:t xml:space="preserve">a persuadable </w:t>
      </w:r>
      <w:r>
        <w:rPr>
          <w:rFonts w:ascii="Arial" w:hAnsi="Arial" w:cs="Arial"/>
          <w:sz w:val="24"/>
          <w:szCs w:val="24"/>
          <w:lang w:val="en-US"/>
        </w:rPr>
        <w:t xml:space="preserve">support </w:t>
      </w:r>
      <w:r w:rsidR="00E250B6">
        <w:rPr>
          <w:rFonts w:ascii="Arial" w:hAnsi="Arial" w:cs="Arial"/>
          <w:sz w:val="24"/>
          <w:szCs w:val="24"/>
          <w:lang w:val="en-US"/>
        </w:rPr>
        <w:t>network, which</w:t>
      </w:r>
      <w:r w:rsidR="00B466B8">
        <w:rPr>
          <w:rFonts w:ascii="Arial" w:hAnsi="Arial" w:cs="Arial"/>
          <w:sz w:val="24"/>
          <w:szCs w:val="24"/>
          <w:lang w:val="en-US"/>
        </w:rPr>
        <w:t xml:space="preserve"> help</w:t>
      </w:r>
      <w:r w:rsidR="00B02318">
        <w:rPr>
          <w:rFonts w:ascii="Arial" w:hAnsi="Arial" w:cs="Arial"/>
          <w:sz w:val="24"/>
          <w:szCs w:val="24"/>
          <w:lang w:val="en-US"/>
        </w:rPr>
        <w:t>s</w:t>
      </w:r>
      <w:r w:rsidR="00B466B8">
        <w:rPr>
          <w:rFonts w:ascii="Arial" w:hAnsi="Arial" w:cs="Arial"/>
          <w:sz w:val="24"/>
          <w:szCs w:val="24"/>
          <w:lang w:val="en-US"/>
        </w:rPr>
        <w:t xml:space="preserve"> him to undertake to change his lifestyle; in other cases, indivi</w:t>
      </w:r>
      <w:r w:rsidR="00B02318">
        <w:rPr>
          <w:rFonts w:ascii="Arial" w:hAnsi="Arial" w:cs="Arial"/>
          <w:sz w:val="24"/>
          <w:szCs w:val="24"/>
          <w:lang w:val="en-US"/>
        </w:rPr>
        <w:t xml:space="preserve">dual factors as poor prognosis </w:t>
      </w:r>
      <w:r w:rsidR="00B466B8">
        <w:rPr>
          <w:rFonts w:ascii="Arial" w:hAnsi="Arial" w:cs="Arial"/>
          <w:sz w:val="24"/>
          <w:szCs w:val="24"/>
          <w:lang w:val="en-US"/>
        </w:rPr>
        <w:t>could be the cause that interferes</w:t>
      </w:r>
      <w:r w:rsidR="00213F30">
        <w:rPr>
          <w:rFonts w:ascii="Arial" w:hAnsi="Arial" w:cs="Arial"/>
          <w:sz w:val="24"/>
          <w:szCs w:val="24"/>
          <w:lang w:val="en-US"/>
        </w:rPr>
        <w:t xml:space="preserve"> with his goals for recovery. </w:t>
      </w:r>
      <w:r w:rsidR="00213F30" w:rsidRPr="00213F30">
        <w:rPr>
          <w:rFonts w:ascii="Arial" w:hAnsi="Arial" w:cs="Arial"/>
          <w:sz w:val="24"/>
          <w:szCs w:val="24"/>
          <w:lang w:val="en-US"/>
        </w:rPr>
        <w:t>In</w:t>
      </w:r>
      <w:r w:rsidR="00B466B8" w:rsidRPr="00213F30">
        <w:rPr>
          <w:rFonts w:ascii="Arial" w:hAnsi="Arial" w:cs="Arial"/>
          <w:sz w:val="24"/>
          <w:szCs w:val="24"/>
          <w:lang w:val="en-US"/>
        </w:rPr>
        <w:t xml:space="preserve"> this regard, </w:t>
      </w:r>
      <w:r w:rsidR="00213F30" w:rsidRPr="00213F30">
        <w:rPr>
          <w:rFonts w:ascii="Arial" w:hAnsi="Arial" w:cs="Arial"/>
          <w:sz w:val="24"/>
          <w:szCs w:val="24"/>
          <w:lang w:val="en-US"/>
        </w:rPr>
        <w:t xml:space="preserve">Nola Pender, in her Health Promotion Model (HPM), </w:t>
      </w:r>
      <w:r w:rsidR="00E250B6">
        <w:rPr>
          <w:rFonts w:ascii="Arial" w:hAnsi="Arial" w:cs="Arial"/>
          <w:sz w:val="24"/>
          <w:szCs w:val="24"/>
          <w:lang w:val="en-US"/>
        </w:rPr>
        <w:t>claims:</w:t>
      </w:r>
      <w:r w:rsidR="00213F30">
        <w:rPr>
          <w:rFonts w:ascii="Arial" w:hAnsi="Arial" w:cs="Arial"/>
          <w:sz w:val="24"/>
          <w:szCs w:val="24"/>
          <w:lang w:val="en-US"/>
        </w:rPr>
        <w:t xml:space="preserve"> “</w:t>
      </w:r>
      <w:r w:rsidR="00806DF3" w:rsidRPr="00806DF3">
        <w:rPr>
          <w:rFonts w:ascii="Arial" w:hAnsi="Arial" w:cs="Arial"/>
          <w:sz w:val="24"/>
          <w:szCs w:val="24"/>
          <w:lang w:val="en-US"/>
        </w:rPr>
        <w:t>Persons are more likely to commit t</w:t>
      </w:r>
      <w:r w:rsidR="00107DC8">
        <w:rPr>
          <w:rFonts w:ascii="Arial" w:hAnsi="Arial" w:cs="Arial"/>
          <w:sz w:val="24"/>
          <w:szCs w:val="24"/>
          <w:lang w:val="en-US"/>
        </w:rPr>
        <w:t>o and engage in health promotion</w:t>
      </w:r>
      <w:r w:rsidR="00806DF3" w:rsidRPr="00806DF3">
        <w:rPr>
          <w:rFonts w:ascii="Arial" w:hAnsi="Arial" w:cs="Arial"/>
          <w:sz w:val="24"/>
          <w:szCs w:val="24"/>
          <w:lang w:val="en-US"/>
        </w:rPr>
        <w:t xml:space="preserve"> behaviors when significant others model the behavior, expect the behavior to occur, and provide assistance and support to enable the behavior</w:t>
      </w:r>
      <w:r w:rsidR="00806DF3">
        <w:rPr>
          <w:rFonts w:ascii="Arial" w:hAnsi="Arial" w:cs="Arial"/>
          <w:sz w:val="24"/>
          <w:szCs w:val="24"/>
          <w:lang w:val="en-US"/>
        </w:rPr>
        <w:t xml:space="preserve"> </w:t>
      </w:r>
      <w:r w:rsidR="00806DF3" w:rsidRPr="00806DF3">
        <w:rPr>
          <w:rFonts w:ascii="Arial" w:hAnsi="Arial" w:cs="Arial"/>
          <w:sz w:val="24"/>
          <w:szCs w:val="24"/>
          <w:vertAlign w:val="superscript"/>
          <w:lang w:val="en-US"/>
        </w:rPr>
        <w:t>(17)</w:t>
      </w:r>
      <w:r w:rsidR="00806DF3" w:rsidRPr="00806DF3">
        <w:rPr>
          <w:rFonts w:ascii="Arial" w:hAnsi="Arial" w:cs="Arial"/>
          <w:sz w:val="24"/>
          <w:szCs w:val="24"/>
          <w:lang w:val="en-US"/>
        </w:rPr>
        <w:t>.</w:t>
      </w:r>
    </w:p>
    <w:p w:rsidR="00806DF3" w:rsidRPr="001779B3" w:rsidRDefault="00B3277C" w:rsidP="00FF0340">
      <w:pPr>
        <w:spacing w:line="240" w:lineRule="auto"/>
        <w:jc w:val="both"/>
        <w:rPr>
          <w:rFonts w:ascii="Arial" w:hAnsi="Arial" w:cs="Arial"/>
          <w:sz w:val="24"/>
          <w:szCs w:val="24"/>
          <w:lang w:val="en-US"/>
        </w:rPr>
      </w:pPr>
      <w:r>
        <w:rPr>
          <w:rFonts w:ascii="Arial" w:hAnsi="Arial" w:cs="Arial"/>
          <w:sz w:val="24"/>
          <w:szCs w:val="24"/>
          <w:lang w:val="en-US"/>
        </w:rPr>
        <w:t>Based on the Pender model, the health can be affected by</w:t>
      </w:r>
      <w:r w:rsidR="00CE7615">
        <w:rPr>
          <w:rFonts w:ascii="Arial" w:hAnsi="Arial" w:cs="Arial"/>
          <w:sz w:val="24"/>
          <w:szCs w:val="24"/>
          <w:lang w:val="en-US"/>
        </w:rPr>
        <w:t xml:space="preserve"> biological, psychological or sociocultural</w:t>
      </w:r>
      <w:r w:rsidR="004D2E81">
        <w:rPr>
          <w:rFonts w:ascii="Arial" w:hAnsi="Arial" w:cs="Arial"/>
          <w:sz w:val="24"/>
          <w:szCs w:val="24"/>
          <w:lang w:val="en-US"/>
        </w:rPr>
        <w:t xml:space="preserve"> constraining</w:t>
      </w:r>
      <w:r>
        <w:rPr>
          <w:rFonts w:ascii="Arial" w:hAnsi="Arial" w:cs="Arial"/>
          <w:sz w:val="24"/>
          <w:szCs w:val="24"/>
          <w:lang w:val="en-US"/>
        </w:rPr>
        <w:t xml:space="preserve"> factors</w:t>
      </w:r>
      <w:r w:rsidR="00D27E20">
        <w:rPr>
          <w:rFonts w:ascii="Arial" w:hAnsi="Arial" w:cs="Arial"/>
          <w:sz w:val="24"/>
          <w:szCs w:val="24"/>
          <w:lang w:val="en-US"/>
        </w:rPr>
        <w:t>,</w:t>
      </w:r>
      <w:r>
        <w:rPr>
          <w:rFonts w:ascii="Arial" w:hAnsi="Arial" w:cs="Arial"/>
          <w:sz w:val="24"/>
          <w:szCs w:val="24"/>
          <w:lang w:val="en-US"/>
        </w:rPr>
        <w:t xml:space="preserve"> </w:t>
      </w:r>
      <w:r w:rsidR="00CE7615">
        <w:rPr>
          <w:rFonts w:ascii="Arial" w:hAnsi="Arial" w:cs="Arial"/>
          <w:sz w:val="24"/>
          <w:szCs w:val="24"/>
          <w:lang w:val="en-US"/>
        </w:rPr>
        <w:t xml:space="preserve">which predict certain conducts and that exert influence in the consideration of the goal for those conducts </w:t>
      </w:r>
      <w:r w:rsidR="00CE7615" w:rsidRPr="00CE7615">
        <w:rPr>
          <w:rFonts w:ascii="Arial" w:hAnsi="Arial" w:cs="Arial"/>
          <w:bCs/>
          <w:noProof/>
          <w:sz w:val="24"/>
          <w:szCs w:val="24"/>
          <w:vertAlign w:val="superscript"/>
          <w:lang w:val="en-US"/>
        </w:rPr>
        <w:t>(18)</w:t>
      </w:r>
      <w:r w:rsidR="00CE7615" w:rsidRPr="00CE7615">
        <w:rPr>
          <w:rFonts w:ascii="Arial" w:hAnsi="Arial" w:cs="Arial"/>
          <w:bCs/>
          <w:noProof/>
          <w:sz w:val="24"/>
          <w:szCs w:val="24"/>
          <w:lang w:val="en-US"/>
        </w:rPr>
        <w:t>.</w:t>
      </w:r>
      <w:r w:rsidR="00CE7615">
        <w:rPr>
          <w:rFonts w:ascii="Arial" w:hAnsi="Arial" w:cs="Arial"/>
          <w:bCs/>
          <w:noProof/>
          <w:sz w:val="24"/>
          <w:szCs w:val="24"/>
          <w:lang w:val="en-US"/>
        </w:rPr>
        <w:t xml:space="preserve"> For th</w:t>
      </w:r>
      <w:r w:rsidR="00E43EF9">
        <w:rPr>
          <w:rFonts w:ascii="Arial" w:hAnsi="Arial" w:cs="Arial"/>
          <w:bCs/>
          <w:noProof/>
          <w:sz w:val="24"/>
          <w:szCs w:val="24"/>
          <w:lang w:val="en-US"/>
        </w:rPr>
        <w:t>e</w:t>
      </w:r>
      <w:r w:rsidR="00CE7615">
        <w:rPr>
          <w:rFonts w:ascii="Arial" w:hAnsi="Arial" w:cs="Arial"/>
          <w:bCs/>
          <w:noProof/>
          <w:sz w:val="24"/>
          <w:szCs w:val="24"/>
          <w:lang w:val="en-US"/>
        </w:rPr>
        <w:t xml:space="preserve"> specific case of a person </w:t>
      </w:r>
      <w:r w:rsidR="00CE7615">
        <w:rPr>
          <w:rFonts w:ascii="Arial" w:hAnsi="Arial" w:cs="Arial"/>
          <w:bCs/>
          <w:noProof/>
          <w:sz w:val="24"/>
          <w:szCs w:val="24"/>
          <w:lang w:val="en-US"/>
        </w:rPr>
        <w:lastRenderedPageBreak/>
        <w:t xml:space="preserve">suffering from </w:t>
      </w:r>
      <w:r w:rsidR="00CE7615" w:rsidRPr="00952DF2">
        <w:rPr>
          <w:rFonts w:ascii="Arial" w:hAnsi="Arial" w:cs="Arial"/>
          <w:sz w:val="24"/>
          <w:szCs w:val="24"/>
          <w:lang w:val="en-US"/>
        </w:rPr>
        <w:t>COPD</w:t>
      </w:r>
      <w:r w:rsidR="00CE7615">
        <w:rPr>
          <w:rFonts w:ascii="Arial" w:hAnsi="Arial" w:cs="Arial"/>
          <w:sz w:val="24"/>
          <w:szCs w:val="24"/>
          <w:lang w:val="en-US"/>
        </w:rPr>
        <w:t xml:space="preserve"> </w:t>
      </w:r>
      <w:r w:rsidR="00E43EF9">
        <w:rPr>
          <w:rFonts w:ascii="Arial" w:hAnsi="Arial" w:cs="Arial"/>
          <w:sz w:val="24"/>
          <w:szCs w:val="24"/>
          <w:lang w:val="en-US"/>
        </w:rPr>
        <w:t>the biological factors that can be</w:t>
      </w:r>
      <w:r w:rsidR="00D27E20">
        <w:rPr>
          <w:rFonts w:ascii="Arial" w:hAnsi="Arial" w:cs="Arial"/>
          <w:sz w:val="24"/>
          <w:szCs w:val="24"/>
          <w:lang w:val="en-US"/>
        </w:rPr>
        <w:t xml:space="preserve"> mentioned are those related to</w:t>
      </w:r>
      <w:r w:rsidR="00E43EF9">
        <w:rPr>
          <w:rFonts w:ascii="Arial" w:hAnsi="Arial" w:cs="Arial"/>
          <w:sz w:val="24"/>
          <w:szCs w:val="24"/>
          <w:lang w:val="en-US"/>
        </w:rPr>
        <w:t xml:space="preserve"> his permanent symptomatology and the seriousness of his d</w:t>
      </w:r>
      <w:r w:rsidR="00C26CF8">
        <w:rPr>
          <w:rFonts w:ascii="Arial" w:hAnsi="Arial" w:cs="Arial"/>
          <w:sz w:val="24"/>
          <w:szCs w:val="24"/>
          <w:lang w:val="en-US"/>
        </w:rPr>
        <w:t xml:space="preserve">isease. As for psychological factors, </w:t>
      </w:r>
      <w:r w:rsidR="00E43EF9">
        <w:rPr>
          <w:rFonts w:ascii="Arial" w:hAnsi="Arial" w:cs="Arial"/>
          <w:sz w:val="24"/>
          <w:szCs w:val="24"/>
          <w:lang w:val="en-US"/>
        </w:rPr>
        <w:t xml:space="preserve">the most important </w:t>
      </w:r>
      <w:r w:rsidR="00C26CF8">
        <w:rPr>
          <w:rFonts w:ascii="Arial" w:hAnsi="Arial" w:cs="Arial"/>
          <w:sz w:val="24"/>
          <w:szCs w:val="24"/>
          <w:lang w:val="en-US"/>
        </w:rPr>
        <w:t xml:space="preserve">to be considered is the emotional state of the patient, which usually tends to show a depressive attitude </w:t>
      </w:r>
      <w:r w:rsidR="00971477">
        <w:rPr>
          <w:rFonts w:ascii="Arial" w:hAnsi="Arial" w:cs="Arial"/>
          <w:sz w:val="24"/>
          <w:szCs w:val="24"/>
          <w:lang w:val="en-US"/>
        </w:rPr>
        <w:t xml:space="preserve">caused by his reduced health condition and by his physical disability to perform the </w:t>
      </w:r>
      <w:r w:rsidR="001779B3" w:rsidRPr="005C0D0F">
        <w:rPr>
          <w:rFonts w:ascii="Arial" w:hAnsi="Arial" w:cs="Arial"/>
          <w:sz w:val="24"/>
          <w:szCs w:val="24"/>
          <w:lang w:val="en-US"/>
        </w:rPr>
        <w:t>IADLs</w:t>
      </w:r>
      <w:r w:rsidR="001779B3">
        <w:rPr>
          <w:rFonts w:ascii="Arial" w:hAnsi="Arial" w:cs="Arial"/>
          <w:sz w:val="24"/>
          <w:szCs w:val="24"/>
          <w:lang w:val="en-US"/>
        </w:rPr>
        <w:t xml:space="preserve"> and the BADL, which generates social and family isolation </w:t>
      </w:r>
      <w:r w:rsidR="001779B3" w:rsidRPr="001779B3">
        <w:rPr>
          <w:rFonts w:ascii="Arial" w:hAnsi="Arial" w:cs="Arial"/>
          <w:bCs/>
          <w:noProof/>
          <w:sz w:val="24"/>
          <w:szCs w:val="24"/>
          <w:vertAlign w:val="superscript"/>
          <w:lang w:val="en-US"/>
        </w:rPr>
        <w:t>(19,20)</w:t>
      </w:r>
      <w:r w:rsidR="001779B3">
        <w:rPr>
          <w:rFonts w:ascii="Arial" w:hAnsi="Arial" w:cs="Arial"/>
          <w:bCs/>
          <w:noProof/>
          <w:sz w:val="24"/>
          <w:szCs w:val="24"/>
          <w:lang w:val="en-US"/>
        </w:rPr>
        <w:t>. As sociocultural fact</w:t>
      </w:r>
      <w:r w:rsidR="00E27161">
        <w:rPr>
          <w:rFonts w:ascii="Arial" w:hAnsi="Arial" w:cs="Arial"/>
          <w:bCs/>
          <w:noProof/>
          <w:sz w:val="24"/>
          <w:szCs w:val="24"/>
          <w:lang w:val="en-US"/>
        </w:rPr>
        <w:t xml:space="preserve">ors, we can mention the exposure </w:t>
      </w:r>
      <w:r w:rsidR="00751D37">
        <w:rPr>
          <w:rFonts w:ascii="Arial" w:hAnsi="Arial" w:cs="Arial"/>
          <w:bCs/>
          <w:noProof/>
          <w:sz w:val="24"/>
          <w:szCs w:val="24"/>
          <w:lang w:val="en-US"/>
        </w:rPr>
        <w:t>and behavioral factors in the patient’s</w:t>
      </w:r>
      <w:r w:rsidR="001779B3">
        <w:rPr>
          <w:rFonts w:ascii="Arial" w:hAnsi="Arial" w:cs="Arial"/>
          <w:bCs/>
          <w:noProof/>
          <w:sz w:val="24"/>
          <w:szCs w:val="24"/>
          <w:lang w:val="en-US"/>
        </w:rPr>
        <w:t xml:space="preserve"> lifestyle </w:t>
      </w:r>
      <w:r w:rsidR="00751D37">
        <w:rPr>
          <w:rFonts w:ascii="Arial" w:hAnsi="Arial" w:cs="Arial"/>
          <w:bCs/>
          <w:noProof/>
          <w:sz w:val="24"/>
          <w:szCs w:val="24"/>
          <w:lang w:val="en-US"/>
        </w:rPr>
        <w:t>that allow</w:t>
      </w:r>
      <w:r w:rsidR="00D27E20">
        <w:rPr>
          <w:rFonts w:ascii="Arial" w:hAnsi="Arial" w:cs="Arial"/>
          <w:bCs/>
          <w:noProof/>
          <w:sz w:val="24"/>
          <w:szCs w:val="24"/>
          <w:lang w:val="en-US"/>
        </w:rPr>
        <w:t>s</w:t>
      </w:r>
      <w:r w:rsidR="00751D37">
        <w:rPr>
          <w:rFonts w:ascii="Arial" w:hAnsi="Arial" w:cs="Arial"/>
          <w:bCs/>
          <w:noProof/>
          <w:sz w:val="24"/>
          <w:szCs w:val="24"/>
          <w:lang w:val="en-US"/>
        </w:rPr>
        <w:t xml:space="preserve"> the </w:t>
      </w:r>
      <w:r w:rsidR="00E27161">
        <w:rPr>
          <w:rFonts w:ascii="Arial" w:hAnsi="Arial" w:cs="Arial"/>
          <w:bCs/>
          <w:noProof/>
          <w:sz w:val="24"/>
          <w:szCs w:val="24"/>
          <w:lang w:val="en-US"/>
        </w:rPr>
        <w:t>cause</w:t>
      </w:r>
      <w:r w:rsidR="00751D37">
        <w:rPr>
          <w:rFonts w:ascii="Arial" w:hAnsi="Arial" w:cs="Arial"/>
          <w:bCs/>
          <w:noProof/>
          <w:sz w:val="24"/>
          <w:szCs w:val="24"/>
          <w:lang w:val="en-US"/>
        </w:rPr>
        <w:t xml:space="preserve"> or the progress of the disease. In addition to these constraints, the barriers perceived by the person </w:t>
      </w:r>
      <w:r w:rsidR="008A1273">
        <w:rPr>
          <w:rFonts w:ascii="Arial" w:hAnsi="Arial" w:cs="Arial"/>
          <w:bCs/>
          <w:noProof/>
          <w:sz w:val="24"/>
          <w:szCs w:val="24"/>
          <w:lang w:val="en-US"/>
        </w:rPr>
        <w:t xml:space="preserve">which </w:t>
      </w:r>
      <w:r w:rsidR="00E27161">
        <w:rPr>
          <w:rFonts w:ascii="Arial" w:hAnsi="Arial" w:cs="Arial"/>
          <w:bCs/>
          <w:noProof/>
          <w:sz w:val="24"/>
          <w:szCs w:val="24"/>
          <w:lang w:val="en-US"/>
        </w:rPr>
        <w:t>impede an appropriate self-management of car</w:t>
      </w:r>
      <w:r w:rsidR="00D27E20">
        <w:rPr>
          <w:rFonts w:ascii="Arial" w:hAnsi="Arial" w:cs="Arial"/>
          <w:bCs/>
          <w:noProof/>
          <w:sz w:val="24"/>
          <w:szCs w:val="24"/>
          <w:lang w:val="en-US"/>
        </w:rPr>
        <w:t>e, besides the social and famil</w:t>
      </w:r>
      <w:r w:rsidR="00E27161">
        <w:rPr>
          <w:rFonts w:ascii="Arial" w:hAnsi="Arial" w:cs="Arial"/>
          <w:bCs/>
          <w:noProof/>
          <w:sz w:val="24"/>
          <w:szCs w:val="24"/>
          <w:lang w:val="en-US"/>
        </w:rPr>
        <w:t>y influence that contribute to deny</w:t>
      </w:r>
      <w:r w:rsidR="00D27E20">
        <w:rPr>
          <w:rFonts w:ascii="Arial" w:hAnsi="Arial" w:cs="Arial"/>
          <w:bCs/>
          <w:noProof/>
          <w:sz w:val="24"/>
          <w:szCs w:val="24"/>
          <w:lang w:val="en-US"/>
        </w:rPr>
        <w:t>ing</w:t>
      </w:r>
      <w:r w:rsidR="00E27161">
        <w:rPr>
          <w:rFonts w:ascii="Arial" w:hAnsi="Arial" w:cs="Arial"/>
          <w:bCs/>
          <w:noProof/>
          <w:sz w:val="24"/>
          <w:szCs w:val="24"/>
          <w:lang w:val="en-US"/>
        </w:rPr>
        <w:t xml:space="preserve"> that the exposure factors are harmful, must </w:t>
      </w:r>
      <w:r w:rsidR="00751D37">
        <w:rPr>
          <w:rFonts w:ascii="Arial" w:hAnsi="Arial" w:cs="Arial"/>
          <w:bCs/>
          <w:noProof/>
          <w:sz w:val="24"/>
          <w:szCs w:val="24"/>
          <w:lang w:val="en-US"/>
        </w:rPr>
        <w:t xml:space="preserve">also be </w:t>
      </w:r>
      <w:r w:rsidR="008A1273">
        <w:rPr>
          <w:rFonts w:ascii="Arial" w:hAnsi="Arial" w:cs="Arial"/>
          <w:bCs/>
          <w:noProof/>
          <w:sz w:val="24"/>
          <w:szCs w:val="24"/>
          <w:lang w:val="en-US"/>
        </w:rPr>
        <w:t xml:space="preserve">taken into consideration </w:t>
      </w:r>
    </w:p>
    <w:p w:rsidR="00E27161" w:rsidRDefault="00E27161" w:rsidP="00FF0340">
      <w:pPr>
        <w:autoSpaceDE w:val="0"/>
        <w:autoSpaceDN w:val="0"/>
        <w:adjustRightInd w:val="0"/>
        <w:spacing w:after="0" w:line="240" w:lineRule="auto"/>
        <w:jc w:val="both"/>
        <w:rPr>
          <w:rFonts w:ascii="Arial" w:hAnsi="Arial" w:cs="Arial"/>
          <w:bCs/>
          <w:noProof/>
          <w:sz w:val="24"/>
          <w:szCs w:val="24"/>
          <w:lang w:val="en-US"/>
        </w:rPr>
      </w:pPr>
      <w:r>
        <w:rPr>
          <w:rFonts w:ascii="Arial" w:hAnsi="Arial" w:cs="Arial"/>
          <w:bCs/>
          <w:noProof/>
          <w:sz w:val="24"/>
          <w:szCs w:val="24"/>
          <w:lang w:val="en-US"/>
        </w:rPr>
        <w:t>In this regard, it is important to foster practices related to healthy lifestyles: physical activity, stress management, balanced diet and a</w:t>
      </w:r>
      <w:r w:rsidR="00464DFE">
        <w:rPr>
          <w:rFonts w:ascii="Arial" w:hAnsi="Arial" w:cs="Arial"/>
          <w:bCs/>
          <w:noProof/>
          <w:sz w:val="24"/>
          <w:szCs w:val="24"/>
          <w:lang w:val="en-US"/>
        </w:rPr>
        <w:t xml:space="preserve">dherence to treatment, becoming on </w:t>
      </w:r>
      <w:r w:rsidR="007562A1">
        <w:rPr>
          <w:rFonts w:ascii="Arial" w:hAnsi="Arial" w:cs="Arial"/>
          <w:bCs/>
          <w:noProof/>
          <w:sz w:val="24"/>
          <w:szCs w:val="24"/>
          <w:lang w:val="en-US"/>
        </w:rPr>
        <w:t>essential</w:t>
      </w:r>
      <w:r w:rsidR="00E75965">
        <w:rPr>
          <w:rFonts w:ascii="Arial" w:hAnsi="Arial" w:cs="Arial"/>
          <w:bCs/>
          <w:noProof/>
          <w:sz w:val="24"/>
          <w:szCs w:val="24"/>
          <w:lang w:val="en-US"/>
        </w:rPr>
        <w:t>,</w:t>
      </w:r>
      <w:r w:rsidR="007562A1">
        <w:rPr>
          <w:rFonts w:ascii="Arial" w:hAnsi="Arial" w:cs="Arial"/>
          <w:bCs/>
          <w:noProof/>
          <w:sz w:val="24"/>
          <w:szCs w:val="24"/>
          <w:lang w:val="en-US"/>
        </w:rPr>
        <w:t xml:space="preserve">  </w:t>
      </w:r>
      <w:r w:rsidR="00E75965">
        <w:rPr>
          <w:rFonts w:ascii="Arial" w:hAnsi="Arial" w:cs="Arial"/>
          <w:bCs/>
          <w:noProof/>
          <w:sz w:val="24"/>
          <w:szCs w:val="24"/>
          <w:lang w:val="en-US"/>
        </w:rPr>
        <w:t xml:space="preserve">encouraging </w:t>
      </w:r>
      <w:r w:rsidR="00DA199F">
        <w:rPr>
          <w:rFonts w:ascii="Arial" w:hAnsi="Arial" w:cs="Arial"/>
          <w:bCs/>
          <w:noProof/>
          <w:sz w:val="24"/>
          <w:szCs w:val="24"/>
          <w:lang w:val="en-US"/>
        </w:rPr>
        <w:t xml:space="preserve">influences </w:t>
      </w:r>
      <w:r w:rsidR="00E75965">
        <w:rPr>
          <w:rFonts w:ascii="Arial" w:hAnsi="Arial" w:cs="Arial"/>
          <w:bCs/>
          <w:noProof/>
          <w:sz w:val="24"/>
          <w:szCs w:val="24"/>
          <w:lang w:val="en-US"/>
        </w:rPr>
        <w:t>that guarantee an a</w:t>
      </w:r>
      <w:r w:rsidR="00A64B32">
        <w:rPr>
          <w:rFonts w:ascii="Arial" w:hAnsi="Arial" w:cs="Arial"/>
          <w:bCs/>
          <w:noProof/>
          <w:sz w:val="24"/>
          <w:szCs w:val="24"/>
          <w:lang w:val="en-US"/>
        </w:rPr>
        <w:t xml:space="preserve">ction plan for each person, </w:t>
      </w:r>
      <w:r w:rsidR="00E75965">
        <w:rPr>
          <w:rFonts w:ascii="Arial" w:hAnsi="Arial" w:cs="Arial"/>
          <w:bCs/>
          <w:noProof/>
          <w:sz w:val="24"/>
          <w:szCs w:val="24"/>
          <w:lang w:val="en-US"/>
        </w:rPr>
        <w:t>attaining a behavioral outcome</w:t>
      </w:r>
      <w:r w:rsidR="00A64B32">
        <w:rPr>
          <w:rFonts w:ascii="Arial" w:hAnsi="Arial" w:cs="Arial"/>
          <w:bCs/>
          <w:noProof/>
          <w:sz w:val="24"/>
          <w:szCs w:val="24"/>
          <w:lang w:val="en-US"/>
        </w:rPr>
        <w:t xml:space="preserve"> which diminishes </w:t>
      </w:r>
      <w:r w:rsidR="00212E53">
        <w:rPr>
          <w:rFonts w:ascii="Arial" w:hAnsi="Arial" w:cs="Arial"/>
          <w:bCs/>
          <w:noProof/>
          <w:sz w:val="24"/>
          <w:szCs w:val="24"/>
          <w:lang w:val="en-US"/>
        </w:rPr>
        <w:t>the progression of the disease and contributes to modify the conducts that can have a negative influence in the health process of the patient.</w:t>
      </w:r>
    </w:p>
    <w:p w:rsidR="00FF0340" w:rsidRPr="009D1675" w:rsidRDefault="00FF0340" w:rsidP="00FF0340">
      <w:pPr>
        <w:autoSpaceDE w:val="0"/>
        <w:autoSpaceDN w:val="0"/>
        <w:adjustRightInd w:val="0"/>
        <w:spacing w:after="0" w:line="240" w:lineRule="auto"/>
        <w:jc w:val="both"/>
        <w:rPr>
          <w:rFonts w:ascii="Arial" w:hAnsi="Arial" w:cs="Arial"/>
          <w:bCs/>
          <w:noProof/>
          <w:sz w:val="24"/>
          <w:szCs w:val="24"/>
          <w:lang w:val="en-US"/>
        </w:rPr>
      </w:pPr>
    </w:p>
    <w:p w:rsidR="00212E53" w:rsidRDefault="00867689" w:rsidP="00212E53">
      <w:pPr>
        <w:autoSpaceDE w:val="0"/>
        <w:autoSpaceDN w:val="0"/>
        <w:adjustRightInd w:val="0"/>
        <w:spacing w:after="0" w:line="240" w:lineRule="auto"/>
        <w:jc w:val="both"/>
        <w:rPr>
          <w:rFonts w:ascii="Arial" w:hAnsi="Arial" w:cs="Arial"/>
          <w:sz w:val="24"/>
          <w:szCs w:val="24"/>
          <w:lang w:val="en-US"/>
        </w:rPr>
      </w:pPr>
      <w:r>
        <w:rPr>
          <w:rFonts w:ascii="Arial" w:hAnsi="Arial" w:cs="Arial"/>
          <w:bCs/>
          <w:noProof/>
          <w:sz w:val="24"/>
          <w:szCs w:val="24"/>
          <w:lang w:val="en-US"/>
        </w:rPr>
        <w:t>The aim of this study</w:t>
      </w:r>
      <w:r w:rsidR="00212E53" w:rsidRPr="00212E53">
        <w:rPr>
          <w:rFonts w:ascii="Arial" w:hAnsi="Arial" w:cs="Arial"/>
          <w:bCs/>
          <w:noProof/>
          <w:sz w:val="24"/>
          <w:szCs w:val="24"/>
          <w:lang w:val="en-US"/>
        </w:rPr>
        <w:t xml:space="preserve"> was </w:t>
      </w:r>
      <w:r w:rsidR="00212E53">
        <w:rPr>
          <w:rFonts w:ascii="Arial" w:hAnsi="Arial" w:cs="Arial"/>
          <w:sz w:val="24"/>
          <w:szCs w:val="24"/>
          <w:lang w:val="en-US"/>
        </w:rPr>
        <w:t>to describe health promotion behaviors and the degree of physical dependence and its association with the socio-demograp</w:t>
      </w:r>
      <w:r>
        <w:rPr>
          <w:rFonts w:ascii="Arial" w:hAnsi="Arial" w:cs="Arial"/>
          <w:sz w:val="24"/>
          <w:szCs w:val="24"/>
          <w:lang w:val="en-US"/>
        </w:rPr>
        <w:t>hic and clinic characteristics i</w:t>
      </w:r>
      <w:r w:rsidR="00212E53">
        <w:rPr>
          <w:rFonts w:ascii="Arial" w:hAnsi="Arial" w:cs="Arial"/>
          <w:sz w:val="24"/>
          <w:szCs w:val="24"/>
          <w:lang w:val="en-US"/>
        </w:rPr>
        <w:t xml:space="preserve">n people </w:t>
      </w:r>
      <w:r w:rsidR="00212E53" w:rsidRPr="00D51020">
        <w:rPr>
          <w:rFonts w:ascii="Arial" w:hAnsi="Arial" w:cs="Arial"/>
          <w:sz w:val="24"/>
          <w:szCs w:val="24"/>
          <w:lang w:val="en-US"/>
        </w:rPr>
        <w:t xml:space="preserve">with </w:t>
      </w:r>
      <w:r>
        <w:rPr>
          <w:rFonts w:ascii="Arial" w:hAnsi="Arial" w:cs="Arial"/>
          <w:sz w:val="24"/>
          <w:szCs w:val="24"/>
          <w:lang w:val="en-US"/>
        </w:rPr>
        <w:t xml:space="preserve">the </w:t>
      </w:r>
      <w:r w:rsidR="00212E53" w:rsidRPr="00D51020">
        <w:rPr>
          <w:rFonts w:ascii="Arial" w:hAnsi="Arial" w:cs="Arial"/>
          <w:sz w:val="24"/>
          <w:szCs w:val="24"/>
          <w:lang w:val="en-US"/>
        </w:rPr>
        <w:t>chronic obstructive pulmonary disease</w:t>
      </w:r>
      <w:r w:rsidR="00212E53">
        <w:rPr>
          <w:rFonts w:ascii="Arial" w:hAnsi="Arial" w:cs="Arial"/>
          <w:sz w:val="24"/>
          <w:szCs w:val="24"/>
          <w:lang w:val="en-US"/>
        </w:rPr>
        <w:t xml:space="preserve"> (COPD) diagnosed. </w:t>
      </w:r>
    </w:p>
    <w:p w:rsidR="00212E53" w:rsidRDefault="00212E53" w:rsidP="00212E53">
      <w:pPr>
        <w:autoSpaceDE w:val="0"/>
        <w:autoSpaceDN w:val="0"/>
        <w:adjustRightInd w:val="0"/>
        <w:spacing w:after="0" w:line="240" w:lineRule="auto"/>
        <w:jc w:val="both"/>
        <w:rPr>
          <w:rFonts w:ascii="Arial" w:hAnsi="Arial" w:cs="Arial"/>
          <w:sz w:val="24"/>
          <w:szCs w:val="24"/>
          <w:lang w:val="en-US"/>
        </w:rPr>
      </w:pPr>
    </w:p>
    <w:p w:rsidR="00501C75" w:rsidRDefault="00501C75" w:rsidP="00FF0340">
      <w:pPr>
        <w:spacing w:line="240" w:lineRule="auto"/>
        <w:jc w:val="both"/>
        <w:rPr>
          <w:rFonts w:ascii="Arial" w:hAnsi="Arial" w:cs="Arial"/>
          <w:b/>
          <w:sz w:val="24"/>
          <w:szCs w:val="24"/>
          <w:lang w:val="en-US"/>
        </w:rPr>
      </w:pPr>
    </w:p>
    <w:p w:rsidR="00212E53" w:rsidRPr="009D1675" w:rsidRDefault="00212E53" w:rsidP="00FF0340">
      <w:pPr>
        <w:spacing w:line="240" w:lineRule="auto"/>
        <w:jc w:val="both"/>
        <w:rPr>
          <w:rFonts w:ascii="Arial" w:hAnsi="Arial" w:cs="Arial"/>
          <w:b/>
          <w:sz w:val="24"/>
          <w:szCs w:val="24"/>
          <w:lang w:val="en-US"/>
        </w:rPr>
      </w:pPr>
      <w:r w:rsidRPr="009D1675">
        <w:rPr>
          <w:rFonts w:ascii="Arial" w:hAnsi="Arial" w:cs="Arial"/>
          <w:b/>
          <w:sz w:val="24"/>
          <w:szCs w:val="24"/>
          <w:lang w:val="en-US"/>
        </w:rPr>
        <w:t>MATERIAL AND METHODS</w:t>
      </w:r>
    </w:p>
    <w:p w:rsidR="00340F91" w:rsidRDefault="009D1675" w:rsidP="00FF0340">
      <w:pPr>
        <w:spacing w:line="240" w:lineRule="auto"/>
        <w:jc w:val="both"/>
        <w:rPr>
          <w:rFonts w:ascii="Arial" w:hAnsi="Arial" w:cs="Arial"/>
          <w:sz w:val="24"/>
          <w:szCs w:val="24"/>
          <w:lang w:val="en-US"/>
        </w:rPr>
      </w:pPr>
      <w:r w:rsidRPr="00B95BE6">
        <w:rPr>
          <w:rFonts w:ascii="Arial" w:hAnsi="Arial" w:cs="Arial"/>
          <w:sz w:val="24"/>
          <w:szCs w:val="24"/>
          <w:lang w:val="en-US"/>
        </w:rPr>
        <w:t>Q</w:t>
      </w:r>
      <w:r w:rsidR="000B38AB" w:rsidRPr="00B95BE6">
        <w:rPr>
          <w:rFonts w:ascii="Arial" w:hAnsi="Arial" w:cs="Arial"/>
          <w:sz w:val="24"/>
          <w:szCs w:val="24"/>
          <w:lang w:val="en-US"/>
        </w:rPr>
        <w:t xml:space="preserve">ualitative approach </w:t>
      </w:r>
      <w:r w:rsidR="00B95BE6">
        <w:rPr>
          <w:rFonts w:ascii="Arial" w:hAnsi="Arial" w:cs="Arial"/>
          <w:sz w:val="24"/>
          <w:szCs w:val="24"/>
          <w:lang w:val="en-US"/>
        </w:rPr>
        <w:t xml:space="preserve">study of </w:t>
      </w:r>
      <w:r w:rsidR="000B38AB" w:rsidRPr="00B95BE6">
        <w:rPr>
          <w:rFonts w:ascii="Arial" w:hAnsi="Arial" w:cs="Arial"/>
          <w:sz w:val="24"/>
          <w:szCs w:val="24"/>
          <w:lang w:val="en-US"/>
        </w:rPr>
        <w:t>correlation</w:t>
      </w:r>
      <w:r w:rsidR="00B95BE6" w:rsidRPr="00B95BE6">
        <w:rPr>
          <w:rFonts w:ascii="Arial" w:hAnsi="Arial" w:cs="Arial"/>
          <w:sz w:val="24"/>
          <w:szCs w:val="24"/>
          <w:lang w:val="en-US"/>
        </w:rPr>
        <w:t>-</w:t>
      </w:r>
      <w:r w:rsidRPr="00B95BE6">
        <w:rPr>
          <w:rFonts w:ascii="Arial" w:hAnsi="Arial" w:cs="Arial"/>
          <w:sz w:val="24"/>
          <w:szCs w:val="24"/>
          <w:lang w:val="en-US"/>
        </w:rPr>
        <w:t xml:space="preserve">scope performed during 2015 at a </w:t>
      </w:r>
      <w:r w:rsidR="00676E14" w:rsidRPr="00676E14">
        <w:rPr>
          <w:rFonts w:ascii="Arial" w:hAnsi="Arial" w:cs="Arial"/>
          <w:sz w:val="24"/>
          <w:szCs w:val="24"/>
          <w:lang w:val="en-US"/>
        </w:rPr>
        <w:t xml:space="preserve">Social </w:t>
      </w:r>
      <w:r w:rsidRPr="00676E14">
        <w:rPr>
          <w:rFonts w:ascii="Arial" w:hAnsi="Arial" w:cs="Arial"/>
          <w:sz w:val="24"/>
          <w:szCs w:val="24"/>
          <w:lang w:val="en-US"/>
        </w:rPr>
        <w:t>State Company (SSC),</w:t>
      </w:r>
      <w:r>
        <w:rPr>
          <w:rFonts w:ascii="Arial" w:hAnsi="Arial" w:cs="Arial"/>
          <w:sz w:val="24"/>
          <w:szCs w:val="24"/>
          <w:lang w:val="en-US"/>
        </w:rPr>
        <w:t xml:space="preserve"> which offers low complexity services in the city of Manizales, Colombia. The population </w:t>
      </w:r>
      <w:r w:rsidR="00D815F8">
        <w:rPr>
          <w:rFonts w:ascii="Arial" w:hAnsi="Arial" w:cs="Arial"/>
          <w:sz w:val="24"/>
          <w:szCs w:val="24"/>
          <w:lang w:val="en-US"/>
        </w:rPr>
        <w:t xml:space="preserve">was registered in a </w:t>
      </w:r>
      <w:r w:rsidR="005D09BD">
        <w:rPr>
          <w:rFonts w:ascii="Arial" w:hAnsi="Arial" w:cs="Arial"/>
          <w:sz w:val="24"/>
          <w:szCs w:val="24"/>
          <w:lang w:val="en-US"/>
        </w:rPr>
        <w:t>database,</w:t>
      </w:r>
      <w:r w:rsidR="00676E14">
        <w:rPr>
          <w:rFonts w:ascii="Arial" w:hAnsi="Arial" w:cs="Arial"/>
          <w:sz w:val="24"/>
          <w:szCs w:val="24"/>
          <w:lang w:val="en-US"/>
        </w:rPr>
        <w:t xml:space="preserve"> in </w:t>
      </w:r>
      <w:r w:rsidR="005D09BD">
        <w:rPr>
          <w:rFonts w:ascii="Arial" w:hAnsi="Arial" w:cs="Arial"/>
          <w:sz w:val="24"/>
          <w:szCs w:val="24"/>
          <w:lang w:val="en-US"/>
        </w:rPr>
        <w:t>which</w:t>
      </w:r>
      <w:r w:rsidR="00D815F8">
        <w:rPr>
          <w:rFonts w:ascii="Arial" w:hAnsi="Arial" w:cs="Arial"/>
          <w:sz w:val="24"/>
          <w:szCs w:val="24"/>
          <w:lang w:val="en-US"/>
        </w:rPr>
        <w:t xml:space="preserve"> a COPD clinical diagnostic</w:t>
      </w:r>
      <w:r w:rsidR="00676E14">
        <w:rPr>
          <w:rFonts w:ascii="Arial" w:hAnsi="Arial" w:cs="Arial"/>
          <w:sz w:val="24"/>
          <w:szCs w:val="24"/>
          <w:lang w:val="en-US"/>
        </w:rPr>
        <w:t xml:space="preserve"> is requested</w:t>
      </w:r>
      <w:r w:rsidR="00D815F8">
        <w:rPr>
          <w:rFonts w:ascii="Arial" w:hAnsi="Arial" w:cs="Arial"/>
          <w:sz w:val="24"/>
          <w:szCs w:val="24"/>
          <w:lang w:val="en-US"/>
        </w:rPr>
        <w:t xml:space="preserve">. </w:t>
      </w:r>
      <w:r w:rsidR="00DF1AD2">
        <w:rPr>
          <w:rFonts w:ascii="Arial" w:hAnsi="Arial" w:cs="Arial"/>
          <w:sz w:val="24"/>
          <w:szCs w:val="24"/>
          <w:lang w:val="en-US"/>
        </w:rPr>
        <w:t xml:space="preserve">Initially, </w:t>
      </w:r>
      <w:r w:rsidR="005D09BD">
        <w:rPr>
          <w:rFonts w:ascii="Arial" w:hAnsi="Arial" w:cs="Arial"/>
          <w:sz w:val="24"/>
          <w:szCs w:val="24"/>
          <w:lang w:val="en-US"/>
        </w:rPr>
        <w:t>a</w:t>
      </w:r>
      <w:r w:rsidR="00DF1AD2">
        <w:rPr>
          <w:rFonts w:ascii="Arial" w:hAnsi="Arial" w:cs="Arial"/>
          <w:sz w:val="24"/>
          <w:szCs w:val="24"/>
          <w:lang w:val="en-US"/>
        </w:rPr>
        <w:t xml:space="preserve"> pilot test</w:t>
      </w:r>
      <w:r w:rsidR="005D09BD">
        <w:rPr>
          <w:rFonts w:ascii="Arial" w:hAnsi="Arial" w:cs="Arial"/>
          <w:sz w:val="24"/>
          <w:szCs w:val="24"/>
          <w:lang w:val="en-US"/>
        </w:rPr>
        <w:t xml:space="preserve"> with 43 people chosen randomly was carried out in order to estimate the homogeneity of the data obtained in the scale: </w:t>
      </w:r>
      <w:r w:rsidR="00340F91">
        <w:rPr>
          <w:rFonts w:ascii="Arial" w:hAnsi="Arial" w:cs="Arial"/>
          <w:sz w:val="24"/>
          <w:szCs w:val="24"/>
          <w:lang w:val="en-US"/>
        </w:rPr>
        <w:t xml:space="preserve">A health-promoting lifestyle Profile II (HPLPII) Spanish version. Considering the resulting average </w:t>
      </w:r>
      <w:r w:rsidR="00184FB2">
        <w:rPr>
          <w:rFonts w:ascii="Arial" w:hAnsi="Arial" w:cs="Arial"/>
          <w:sz w:val="24"/>
          <w:szCs w:val="24"/>
          <w:lang w:val="en-US"/>
        </w:rPr>
        <w:t>with</w:t>
      </w:r>
      <w:r w:rsidR="00340F91">
        <w:rPr>
          <w:rFonts w:ascii="Arial" w:hAnsi="Arial" w:cs="Arial"/>
          <w:sz w:val="24"/>
          <w:szCs w:val="24"/>
          <w:lang w:val="en-US"/>
        </w:rPr>
        <w:t xml:space="preserve"> this instrument, </w:t>
      </w:r>
      <w:r w:rsidR="00340F91" w:rsidRPr="00725A00">
        <w:rPr>
          <w:rFonts w:ascii="Arial" w:hAnsi="Arial" w:cs="Arial"/>
          <w:sz w:val="24"/>
          <w:szCs w:val="24"/>
          <w:lang w:val="en-US"/>
        </w:rPr>
        <w:t xml:space="preserve">the decision taken was to work with a </w:t>
      </w:r>
      <w:r w:rsidR="00184FB2" w:rsidRPr="00725A00">
        <w:rPr>
          <w:rFonts w:ascii="Arial" w:hAnsi="Arial" w:cs="Arial"/>
          <w:sz w:val="24"/>
          <w:szCs w:val="24"/>
          <w:lang w:val="en-US"/>
        </w:rPr>
        <w:t>confidence</w:t>
      </w:r>
      <w:r w:rsidR="00340F91" w:rsidRPr="00725A00">
        <w:rPr>
          <w:rFonts w:ascii="Arial" w:hAnsi="Arial" w:cs="Arial"/>
          <w:sz w:val="24"/>
          <w:szCs w:val="24"/>
          <w:lang w:val="en-US"/>
        </w:rPr>
        <w:t xml:space="preserve"> index of 95%, a margin of error of 5% and a relative error of 3%,</w:t>
      </w:r>
      <w:r w:rsidR="00725A00">
        <w:rPr>
          <w:rFonts w:ascii="Arial" w:hAnsi="Arial" w:cs="Arial"/>
          <w:sz w:val="24"/>
          <w:szCs w:val="24"/>
          <w:lang w:val="en-US"/>
        </w:rPr>
        <w:t xml:space="preserve"> thus obtaining</w:t>
      </w:r>
      <w:r w:rsidR="00340F91">
        <w:rPr>
          <w:rFonts w:ascii="Arial" w:hAnsi="Arial" w:cs="Arial"/>
          <w:sz w:val="24"/>
          <w:szCs w:val="24"/>
          <w:lang w:val="en-US"/>
        </w:rPr>
        <w:t xml:space="preserve"> a random sample of 125 people fro</w:t>
      </w:r>
      <w:r w:rsidR="00725A00">
        <w:rPr>
          <w:rFonts w:ascii="Arial" w:hAnsi="Arial" w:cs="Arial"/>
          <w:sz w:val="24"/>
          <w:szCs w:val="24"/>
          <w:lang w:val="en-US"/>
        </w:rPr>
        <w:t>m</w:t>
      </w:r>
      <w:r w:rsidR="00340F91">
        <w:rPr>
          <w:rFonts w:ascii="Arial" w:hAnsi="Arial" w:cs="Arial"/>
          <w:sz w:val="24"/>
          <w:szCs w:val="24"/>
          <w:lang w:val="en-US"/>
        </w:rPr>
        <w:t xml:space="preserve"> the database aforementioned. </w:t>
      </w:r>
      <w:r w:rsidR="00E637D1">
        <w:rPr>
          <w:rFonts w:ascii="Arial" w:hAnsi="Arial" w:cs="Arial"/>
          <w:sz w:val="24"/>
          <w:szCs w:val="24"/>
          <w:lang w:val="en-US"/>
        </w:rPr>
        <w:t>P</w:t>
      </w:r>
      <w:r w:rsidR="003A159B">
        <w:rPr>
          <w:rFonts w:ascii="Arial" w:hAnsi="Arial" w:cs="Arial"/>
          <w:sz w:val="24"/>
          <w:szCs w:val="24"/>
          <w:lang w:val="en-US"/>
        </w:rPr>
        <w:t>eople with the following diagnos</w:t>
      </w:r>
      <w:r w:rsidR="00E637D1">
        <w:rPr>
          <w:rFonts w:ascii="Arial" w:hAnsi="Arial" w:cs="Arial"/>
          <w:sz w:val="24"/>
          <w:szCs w:val="24"/>
          <w:lang w:val="en-US"/>
        </w:rPr>
        <w:t>e</w:t>
      </w:r>
      <w:r w:rsidR="003A159B">
        <w:rPr>
          <w:rFonts w:ascii="Arial" w:hAnsi="Arial" w:cs="Arial"/>
          <w:sz w:val="24"/>
          <w:szCs w:val="24"/>
          <w:lang w:val="en-US"/>
        </w:rPr>
        <w:t>s</w:t>
      </w:r>
      <w:r w:rsidR="00E637D1">
        <w:rPr>
          <w:rFonts w:ascii="Arial" w:hAnsi="Arial" w:cs="Arial"/>
          <w:sz w:val="24"/>
          <w:szCs w:val="24"/>
          <w:lang w:val="en-US"/>
        </w:rPr>
        <w:t xml:space="preserve"> were included</w:t>
      </w:r>
      <w:r w:rsidR="003A159B">
        <w:rPr>
          <w:rFonts w:ascii="Arial" w:hAnsi="Arial" w:cs="Arial"/>
          <w:sz w:val="24"/>
          <w:szCs w:val="24"/>
          <w:lang w:val="en-US"/>
        </w:rPr>
        <w:t>: unspecified COPD</w:t>
      </w:r>
      <w:r w:rsidR="001C24E2">
        <w:rPr>
          <w:rFonts w:ascii="Arial" w:hAnsi="Arial" w:cs="Arial"/>
          <w:sz w:val="24"/>
          <w:szCs w:val="24"/>
          <w:lang w:val="en-US"/>
        </w:rPr>
        <w:t>, COPD with an acute infection and</w:t>
      </w:r>
      <w:r w:rsidR="006D2B33" w:rsidRPr="006D2B33">
        <w:rPr>
          <w:lang w:val="en-US"/>
        </w:rPr>
        <w:t xml:space="preserve"> </w:t>
      </w:r>
      <w:r w:rsidR="006D2B33" w:rsidRPr="006D2B33">
        <w:rPr>
          <w:rFonts w:ascii="Arial" w:hAnsi="Arial" w:cs="Arial"/>
          <w:sz w:val="24"/>
          <w:szCs w:val="24"/>
          <w:lang w:val="en-US"/>
        </w:rPr>
        <w:t>acute exacerbation of COPD.</w:t>
      </w:r>
      <w:r w:rsidR="001C24E2">
        <w:rPr>
          <w:rFonts w:ascii="Arial" w:hAnsi="Arial" w:cs="Arial"/>
          <w:sz w:val="24"/>
          <w:szCs w:val="24"/>
          <w:lang w:val="en-US"/>
        </w:rPr>
        <w:t xml:space="preserve"> The </w:t>
      </w:r>
      <w:r w:rsidR="003B6127">
        <w:rPr>
          <w:rFonts w:ascii="Arial" w:hAnsi="Arial" w:cs="Arial"/>
          <w:sz w:val="24"/>
          <w:szCs w:val="24"/>
          <w:lang w:val="en-US"/>
        </w:rPr>
        <w:t xml:space="preserve">population </w:t>
      </w:r>
      <w:r w:rsidR="001C24E2">
        <w:rPr>
          <w:rFonts w:ascii="Arial" w:hAnsi="Arial" w:cs="Arial"/>
          <w:sz w:val="24"/>
          <w:szCs w:val="24"/>
          <w:lang w:val="en-US"/>
        </w:rPr>
        <w:t xml:space="preserve">excluded from this study were the ones who were not able to respond the </w:t>
      </w:r>
      <w:r w:rsidR="003B6127">
        <w:rPr>
          <w:rFonts w:ascii="Arial" w:hAnsi="Arial" w:cs="Arial"/>
          <w:sz w:val="24"/>
          <w:szCs w:val="24"/>
          <w:lang w:val="en-US"/>
        </w:rPr>
        <w:t xml:space="preserve">designed </w:t>
      </w:r>
      <w:r w:rsidR="001C24E2">
        <w:rPr>
          <w:rFonts w:ascii="Arial" w:hAnsi="Arial" w:cs="Arial"/>
          <w:sz w:val="24"/>
          <w:szCs w:val="24"/>
          <w:lang w:val="en-US"/>
        </w:rPr>
        <w:t>survey personally, due to physical or cognitive disabilities, people who declared themselves as illiterate or</w:t>
      </w:r>
      <w:r w:rsidR="003B6127">
        <w:rPr>
          <w:rFonts w:ascii="Arial" w:hAnsi="Arial" w:cs="Arial"/>
          <w:sz w:val="24"/>
          <w:szCs w:val="24"/>
          <w:lang w:val="en-US"/>
        </w:rPr>
        <w:t xml:space="preserve"> those who were not attending to a</w:t>
      </w:r>
      <w:r w:rsidR="001C24E2">
        <w:rPr>
          <w:rFonts w:ascii="Arial" w:hAnsi="Arial" w:cs="Arial"/>
          <w:sz w:val="24"/>
          <w:szCs w:val="24"/>
          <w:lang w:val="en-US"/>
        </w:rPr>
        <w:t xml:space="preserve"> health care institution. The </w:t>
      </w:r>
      <w:r w:rsidR="00D43434">
        <w:rPr>
          <w:rFonts w:ascii="Arial" w:hAnsi="Arial" w:cs="Arial"/>
          <w:sz w:val="24"/>
          <w:szCs w:val="24"/>
          <w:lang w:val="en-US"/>
        </w:rPr>
        <w:t xml:space="preserve">valued </w:t>
      </w:r>
      <w:r w:rsidR="001C24E2">
        <w:rPr>
          <w:rFonts w:ascii="Arial" w:hAnsi="Arial" w:cs="Arial"/>
          <w:sz w:val="24"/>
          <w:szCs w:val="24"/>
          <w:lang w:val="en-US"/>
        </w:rPr>
        <w:t>variables</w:t>
      </w:r>
      <w:r w:rsidR="00D43434">
        <w:rPr>
          <w:rFonts w:ascii="Arial" w:hAnsi="Arial" w:cs="Arial"/>
          <w:sz w:val="24"/>
          <w:szCs w:val="24"/>
          <w:lang w:val="en-US"/>
        </w:rPr>
        <w:t xml:space="preserve"> </w:t>
      </w:r>
      <w:r w:rsidR="008F241C">
        <w:rPr>
          <w:rFonts w:ascii="Arial" w:hAnsi="Arial" w:cs="Arial"/>
          <w:sz w:val="24"/>
          <w:szCs w:val="24"/>
          <w:lang w:val="en-US"/>
        </w:rPr>
        <w:t>were</w:t>
      </w:r>
      <w:r w:rsidR="00412555">
        <w:rPr>
          <w:rFonts w:ascii="Arial" w:hAnsi="Arial" w:cs="Arial"/>
          <w:sz w:val="24"/>
          <w:szCs w:val="24"/>
          <w:lang w:val="en-US"/>
        </w:rPr>
        <w:t xml:space="preserve"> the</w:t>
      </w:r>
      <w:r w:rsidR="009E5FE7">
        <w:rPr>
          <w:rFonts w:ascii="Arial" w:hAnsi="Arial" w:cs="Arial"/>
          <w:sz w:val="24"/>
          <w:szCs w:val="24"/>
          <w:lang w:val="en-US"/>
        </w:rPr>
        <w:t xml:space="preserve"> socio</w:t>
      </w:r>
      <w:r w:rsidR="00C83A74">
        <w:rPr>
          <w:rFonts w:ascii="Arial" w:hAnsi="Arial" w:cs="Arial"/>
          <w:sz w:val="24"/>
          <w:szCs w:val="24"/>
          <w:lang w:val="en-US"/>
        </w:rPr>
        <w:t>-</w:t>
      </w:r>
      <w:r w:rsidR="009E5FE7">
        <w:rPr>
          <w:rFonts w:ascii="Arial" w:hAnsi="Arial" w:cs="Arial"/>
          <w:sz w:val="24"/>
          <w:szCs w:val="24"/>
          <w:lang w:val="en-US"/>
        </w:rPr>
        <w:t xml:space="preserve">demographic </w:t>
      </w:r>
      <w:r w:rsidR="00412555">
        <w:rPr>
          <w:rFonts w:ascii="Arial" w:hAnsi="Arial" w:cs="Arial"/>
          <w:sz w:val="24"/>
          <w:szCs w:val="24"/>
          <w:lang w:val="en-US"/>
        </w:rPr>
        <w:t>features</w:t>
      </w:r>
      <w:r w:rsidR="009E5FE7">
        <w:rPr>
          <w:rFonts w:ascii="Arial" w:hAnsi="Arial" w:cs="Arial"/>
          <w:sz w:val="24"/>
          <w:szCs w:val="24"/>
          <w:lang w:val="en-US"/>
        </w:rPr>
        <w:t xml:space="preserve">, </w:t>
      </w:r>
      <w:r w:rsidR="00C83A74">
        <w:rPr>
          <w:rFonts w:ascii="Arial" w:hAnsi="Arial" w:cs="Arial"/>
          <w:sz w:val="24"/>
          <w:szCs w:val="24"/>
          <w:lang w:val="en-US"/>
        </w:rPr>
        <w:t>clinic</w:t>
      </w:r>
      <w:r w:rsidR="00412555">
        <w:rPr>
          <w:rFonts w:ascii="Arial" w:hAnsi="Arial" w:cs="Arial"/>
          <w:sz w:val="24"/>
          <w:szCs w:val="24"/>
          <w:lang w:val="en-US"/>
        </w:rPr>
        <w:t>al</w:t>
      </w:r>
      <w:r w:rsidR="00C83A74">
        <w:rPr>
          <w:rFonts w:ascii="Arial" w:hAnsi="Arial" w:cs="Arial"/>
          <w:sz w:val="24"/>
          <w:szCs w:val="24"/>
          <w:lang w:val="en-US"/>
        </w:rPr>
        <w:t xml:space="preserve"> </w:t>
      </w:r>
      <w:r w:rsidR="00412555">
        <w:rPr>
          <w:rFonts w:ascii="Arial" w:hAnsi="Arial" w:cs="Arial"/>
          <w:sz w:val="24"/>
          <w:szCs w:val="24"/>
          <w:lang w:val="en-US"/>
        </w:rPr>
        <w:t>features</w:t>
      </w:r>
      <w:r w:rsidR="006644A8">
        <w:rPr>
          <w:rFonts w:ascii="Arial" w:hAnsi="Arial" w:cs="Arial"/>
          <w:sz w:val="24"/>
          <w:szCs w:val="24"/>
          <w:lang w:val="en-US"/>
        </w:rPr>
        <w:t>, health promotion behaviors</w:t>
      </w:r>
      <w:r w:rsidR="00C83A74">
        <w:rPr>
          <w:rFonts w:ascii="Arial" w:hAnsi="Arial" w:cs="Arial"/>
          <w:sz w:val="24"/>
          <w:szCs w:val="24"/>
          <w:lang w:val="en-US"/>
        </w:rPr>
        <w:t xml:space="preserve"> and the degree of physical dependence.</w:t>
      </w:r>
    </w:p>
    <w:p w:rsidR="00501C75" w:rsidRDefault="00501C75" w:rsidP="00FF0340">
      <w:pPr>
        <w:spacing w:line="240" w:lineRule="auto"/>
        <w:rPr>
          <w:rFonts w:ascii="Arial" w:hAnsi="Arial" w:cs="Arial"/>
          <w:b/>
          <w:bCs/>
          <w:noProof/>
          <w:sz w:val="24"/>
          <w:szCs w:val="24"/>
          <w:lang w:val="en-US"/>
        </w:rPr>
      </w:pPr>
    </w:p>
    <w:p w:rsidR="00FF0340" w:rsidRPr="009665E7" w:rsidRDefault="00501C75" w:rsidP="00FF0340">
      <w:pPr>
        <w:spacing w:line="240" w:lineRule="auto"/>
        <w:rPr>
          <w:rFonts w:ascii="Arial" w:hAnsi="Arial" w:cs="Arial"/>
          <w:b/>
          <w:bCs/>
          <w:noProof/>
          <w:sz w:val="24"/>
          <w:szCs w:val="24"/>
          <w:lang w:val="en-US"/>
        </w:rPr>
      </w:pPr>
      <w:r w:rsidRPr="009665E7">
        <w:rPr>
          <w:rFonts w:ascii="Arial" w:hAnsi="Arial" w:cs="Arial"/>
          <w:b/>
          <w:bCs/>
          <w:noProof/>
          <w:sz w:val="24"/>
          <w:szCs w:val="24"/>
          <w:lang w:val="en-US"/>
        </w:rPr>
        <w:t>Data Collection</w:t>
      </w:r>
    </w:p>
    <w:p w:rsidR="009665E7" w:rsidRPr="009665E7" w:rsidRDefault="00C372FC" w:rsidP="00FF0340">
      <w:pPr>
        <w:spacing w:line="240" w:lineRule="auto"/>
        <w:jc w:val="both"/>
        <w:rPr>
          <w:rFonts w:ascii="Arial" w:hAnsi="Arial" w:cs="Arial"/>
          <w:bCs/>
          <w:noProof/>
          <w:sz w:val="24"/>
          <w:szCs w:val="24"/>
          <w:lang w:val="en-US"/>
        </w:rPr>
      </w:pPr>
      <w:r>
        <w:rPr>
          <w:rFonts w:ascii="Arial" w:hAnsi="Arial" w:cs="Arial"/>
          <w:bCs/>
          <w:noProof/>
          <w:sz w:val="24"/>
          <w:szCs w:val="24"/>
          <w:lang w:val="en-US"/>
        </w:rPr>
        <w:t>For the</w:t>
      </w:r>
      <w:r w:rsidR="009665E7" w:rsidRPr="009665E7">
        <w:rPr>
          <w:rFonts w:ascii="Arial" w:hAnsi="Arial" w:cs="Arial"/>
          <w:bCs/>
          <w:noProof/>
          <w:sz w:val="24"/>
          <w:szCs w:val="24"/>
          <w:lang w:val="en-US"/>
        </w:rPr>
        <w:t xml:space="preserve"> </w:t>
      </w:r>
      <w:r w:rsidR="009665E7">
        <w:rPr>
          <w:rFonts w:ascii="Arial" w:hAnsi="Arial" w:cs="Arial"/>
          <w:bCs/>
          <w:noProof/>
          <w:sz w:val="24"/>
          <w:szCs w:val="24"/>
          <w:lang w:val="en-US"/>
        </w:rPr>
        <w:t xml:space="preserve">approach </w:t>
      </w:r>
      <w:r>
        <w:rPr>
          <w:rFonts w:ascii="Arial" w:hAnsi="Arial" w:cs="Arial"/>
          <w:bCs/>
          <w:noProof/>
          <w:sz w:val="24"/>
          <w:szCs w:val="24"/>
          <w:lang w:val="en-US"/>
        </w:rPr>
        <w:t xml:space="preserve">of </w:t>
      </w:r>
      <w:r w:rsidR="009665E7">
        <w:rPr>
          <w:rFonts w:ascii="Arial" w:hAnsi="Arial" w:cs="Arial"/>
          <w:bCs/>
          <w:noProof/>
          <w:sz w:val="24"/>
          <w:szCs w:val="24"/>
          <w:lang w:val="en-US"/>
        </w:rPr>
        <w:t>the population and for the data mining, the intention of this study was explained individually</w:t>
      </w:r>
      <w:r>
        <w:rPr>
          <w:rFonts w:ascii="Arial" w:hAnsi="Arial" w:cs="Arial"/>
          <w:bCs/>
          <w:noProof/>
          <w:sz w:val="24"/>
          <w:szCs w:val="24"/>
          <w:lang w:val="en-US"/>
        </w:rPr>
        <w:t xml:space="preserve"> and there was a proper motivation on the subject.</w:t>
      </w:r>
      <w:r w:rsidR="0072106E">
        <w:rPr>
          <w:rFonts w:ascii="Arial" w:hAnsi="Arial" w:cs="Arial"/>
          <w:bCs/>
          <w:noProof/>
          <w:sz w:val="24"/>
          <w:szCs w:val="24"/>
          <w:lang w:val="en-US"/>
        </w:rPr>
        <w:t xml:space="preserve"> Subsequently, an informed consent was read to the population with the purpose of obtaining their authorization to participate in the survey application voluntarily.</w:t>
      </w:r>
    </w:p>
    <w:p w:rsidR="0072106E" w:rsidRDefault="0072106E" w:rsidP="00FF0340">
      <w:pPr>
        <w:spacing w:line="240" w:lineRule="auto"/>
        <w:jc w:val="both"/>
        <w:rPr>
          <w:rFonts w:ascii="Arial" w:hAnsi="Arial" w:cs="Arial"/>
          <w:bCs/>
          <w:noProof/>
          <w:sz w:val="24"/>
          <w:szCs w:val="24"/>
          <w:lang w:val="en-US"/>
        </w:rPr>
      </w:pPr>
      <w:r w:rsidRPr="0072106E">
        <w:rPr>
          <w:rFonts w:ascii="Arial" w:hAnsi="Arial" w:cs="Arial"/>
          <w:bCs/>
          <w:noProof/>
          <w:sz w:val="24"/>
          <w:szCs w:val="24"/>
          <w:lang w:val="en-US"/>
        </w:rPr>
        <w:t>The sociodemographic and clinical data were</w:t>
      </w:r>
      <w:r w:rsidR="00660C1A">
        <w:rPr>
          <w:rFonts w:ascii="Arial" w:hAnsi="Arial" w:cs="Arial"/>
          <w:bCs/>
          <w:noProof/>
          <w:sz w:val="24"/>
          <w:szCs w:val="24"/>
          <w:lang w:val="en-US"/>
        </w:rPr>
        <w:t xml:space="preserve"> obtained from the participants’ </w:t>
      </w:r>
      <w:r w:rsidRPr="0072106E">
        <w:rPr>
          <w:rFonts w:ascii="Arial" w:hAnsi="Arial" w:cs="Arial"/>
          <w:bCs/>
          <w:noProof/>
          <w:sz w:val="24"/>
          <w:szCs w:val="24"/>
          <w:lang w:val="en-US"/>
        </w:rPr>
        <w:t xml:space="preserve">medical record and from the interview performed </w:t>
      </w:r>
      <w:r>
        <w:rPr>
          <w:rFonts w:ascii="Arial" w:hAnsi="Arial" w:cs="Arial"/>
          <w:bCs/>
          <w:noProof/>
          <w:sz w:val="24"/>
          <w:szCs w:val="24"/>
          <w:lang w:val="en-US"/>
        </w:rPr>
        <w:t>with them.</w:t>
      </w:r>
    </w:p>
    <w:p w:rsidR="0072106E" w:rsidRPr="00210EE2" w:rsidRDefault="0072106E" w:rsidP="00FF0340">
      <w:pPr>
        <w:spacing w:line="240" w:lineRule="auto"/>
        <w:jc w:val="both"/>
        <w:rPr>
          <w:rFonts w:ascii="Arial" w:hAnsi="Arial" w:cs="Arial"/>
          <w:bCs/>
          <w:noProof/>
          <w:sz w:val="24"/>
          <w:szCs w:val="24"/>
          <w:lang w:val="en-US"/>
        </w:rPr>
      </w:pPr>
      <w:r w:rsidRPr="0072106E">
        <w:rPr>
          <w:rFonts w:ascii="Arial" w:hAnsi="Arial" w:cs="Arial"/>
          <w:bCs/>
          <w:noProof/>
          <w:sz w:val="24"/>
          <w:szCs w:val="24"/>
          <w:lang w:val="en-US"/>
        </w:rPr>
        <w:t>T</w:t>
      </w:r>
      <w:r w:rsidR="0040168A">
        <w:rPr>
          <w:rFonts w:ascii="Arial" w:hAnsi="Arial" w:cs="Arial"/>
          <w:bCs/>
          <w:noProof/>
          <w:sz w:val="24"/>
          <w:szCs w:val="24"/>
          <w:lang w:val="en-US"/>
        </w:rPr>
        <w:t>o identify the health-promotion behaviors</w:t>
      </w:r>
      <w:r w:rsidRPr="0072106E">
        <w:rPr>
          <w:rFonts w:ascii="Arial" w:hAnsi="Arial" w:cs="Arial"/>
          <w:bCs/>
          <w:noProof/>
          <w:sz w:val="24"/>
          <w:szCs w:val="24"/>
          <w:lang w:val="en-US"/>
        </w:rPr>
        <w:t xml:space="preserve">, the scale known as </w:t>
      </w:r>
      <w:r w:rsidR="00024FBD">
        <w:rPr>
          <w:rFonts w:ascii="Arial" w:hAnsi="Arial" w:cs="Arial"/>
          <w:bCs/>
          <w:noProof/>
          <w:sz w:val="24"/>
          <w:szCs w:val="24"/>
          <w:lang w:val="en-US"/>
        </w:rPr>
        <w:t xml:space="preserve">Nola Pender’s </w:t>
      </w:r>
      <w:r w:rsidR="00024FBD">
        <w:rPr>
          <w:rFonts w:ascii="Arial" w:hAnsi="Arial" w:cs="Arial"/>
          <w:sz w:val="24"/>
          <w:szCs w:val="24"/>
          <w:lang w:val="en-US"/>
        </w:rPr>
        <w:t xml:space="preserve">health-promoting lifestyle II (HPLII) </w:t>
      </w:r>
      <w:r w:rsidR="00210EE2">
        <w:rPr>
          <w:rFonts w:ascii="Arial" w:hAnsi="Arial" w:cs="Arial"/>
          <w:sz w:val="24"/>
          <w:szCs w:val="24"/>
          <w:lang w:val="en-US"/>
        </w:rPr>
        <w:t xml:space="preserve">Spanish version </w:t>
      </w:r>
      <w:r w:rsidR="00024FBD">
        <w:rPr>
          <w:rFonts w:ascii="Arial" w:hAnsi="Arial" w:cs="Arial"/>
          <w:sz w:val="24"/>
          <w:szCs w:val="24"/>
          <w:lang w:val="en-US"/>
        </w:rPr>
        <w:t xml:space="preserve">was applied. </w:t>
      </w:r>
      <w:r w:rsidR="00210EE2">
        <w:rPr>
          <w:rFonts w:ascii="Arial" w:hAnsi="Arial" w:cs="Arial"/>
          <w:sz w:val="24"/>
          <w:szCs w:val="24"/>
          <w:lang w:val="en-US"/>
        </w:rPr>
        <w:t xml:space="preserve">To obtain data about the degree of physical dependence, The </w:t>
      </w:r>
      <w:r w:rsidR="00210EE2" w:rsidRPr="00210EE2">
        <w:rPr>
          <w:rFonts w:ascii="Arial" w:hAnsi="Arial" w:cs="Arial"/>
          <w:bCs/>
          <w:noProof/>
          <w:sz w:val="24"/>
          <w:szCs w:val="24"/>
          <w:lang w:val="en-US"/>
        </w:rPr>
        <w:t>Barthel</w:t>
      </w:r>
      <w:r w:rsidR="00210EE2">
        <w:rPr>
          <w:rFonts w:ascii="Arial" w:hAnsi="Arial" w:cs="Arial"/>
          <w:bCs/>
          <w:noProof/>
          <w:sz w:val="24"/>
          <w:szCs w:val="24"/>
          <w:lang w:val="en-US"/>
        </w:rPr>
        <w:t xml:space="preserve"> Index Scale was applied</w:t>
      </w:r>
    </w:p>
    <w:p w:rsidR="00210EE2" w:rsidRPr="00373E21" w:rsidRDefault="00210EE2" w:rsidP="00FF0340">
      <w:pPr>
        <w:spacing w:line="240" w:lineRule="auto"/>
        <w:jc w:val="both"/>
        <w:rPr>
          <w:rFonts w:ascii="Arial" w:hAnsi="Arial" w:cs="Arial"/>
          <w:bCs/>
          <w:noProof/>
          <w:sz w:val="24"/>
          <w:szCs w:val="24"/>
          <w:lang w:val="en-US"/>
        </w:rPr>
      </w:pPr>
      <w:r w:rsidRPr="00210EE2">
        <w:rPr>
          <w:rFonts w:ascii="Arial" w:hAnsi="Arial" w:cs="Arial"/>
          <w:bCs/>
          <w:noProof/>
          <w:sz w:val="24"/>
          <w:szCs w:val="24"/>
          <w:lang w:val="en-US"/>
        </w:rPr>
        <w:t xml:space="preserve">The </w:t>
      </w:r>
      <w:r>
        <w:rPr>
          <w:rFonts w:ascii="Arial" w:hAnsi="Arial" w:cs="Arial"/>
          <w:sz w:val="24"/>
          <w:szCs w:val="24"/>
          <w:lang w:val="en-US"/>
        </w:rPr>
        <w:t xml:space="preserve">HPLII scale has shown in its </w:t>
      </w:r>
      <w:r w:rsidRPr="00210EE2">
        <w:rPr>
          <w:rFonts w:ascii="Arial" w:hAnsi="Arial" w:cs="Arial"/>
          <w:sz w:val="24"/>
          <w:szCs w:val="24"/>
          <w:lang w:val="en-US"/>
        </w:rPr>
        <w:t>reliability study</w:t>
      </w:r>
      <w:r>
        <w:rPr>
          <w:rFonts w:ascii="Arial" w:hAnsi="Arial" w:cs="Arial"/>
          <w:sz w:val="24"/>
          <w:szCs w:val="24"/>
          <w:lang w:val="en-US"/>
        </w:rPr>
        <w:t xml:space="preserve"> an internal consistency of </w:t>
      </w:r>
      <w:r w:rsidRPr="00210EE2">
        <w:rPr>
          <w:rFonts w:ascii="Arial" w:hAnsi="Arial" w:cs="Arial"/>
          <w:bCs/>
          <w:noProof/>
          <w:sz w:val="24"/>
          <w:szCs w:val="24"/>
          <w:lang w:val="en-US"/>
        </w:rPr>
        <w:t>0,87</w:t>
      </w:r>
      <w:r w:rsidRPr="00210EE2">
        <w:rPr>
          <w:rFonts w:ascii="Arial" w:hAnsi="Arial" w:cs="Arial"/>
          <w:bCs/>
          <w:noProof/>
          <w:sz w:val="24"/>
          <w:szCs w:val="24"/>
          <w:vertAlign w:val="superscript"/>
          <w:lang w:val="en-US"/>
        </w:rPr>
        <w:t>(21)</w:t>
      </w:r>
      <w:r w:rsidRPr="00210EE2">
        <w:rPr>
          <w:rFonts w:ascii="Arial" w:hAnsi="Arial" w:cs="Arial"/>
          <w:bCs/>
          <w:noProof/>
          <w:sz w:val="24"/>
          <w:szCs w:val="24"/>
          <w:lang w:val="en-US"/>
        </w:rPr>
        <w:t>.</w:t>
      </w:r>
      <w:r>
        <w:rPr>
          <w:rFonts w:ascii="Arial" w:hAnsi="Arial" w:cs="Arial"/>
          <w:bCs/>
          <w:noProof/>
          <w:sz w:val="24"/>
          <w:szCs w:val="24"/>
          <w:lang w:val="en-US"/>
        </w:rPr>
        <w:t xml:space="preserve"> At the level of the Latin America region, in Colombia as in Chile, this instrument has been used in studies with young and adult people assisted </w:t>
      </w:r>
      <w:r w:rsidR="00315906">
        <w:rPr>
          <w:rFonts w:ascii="Arial" w:hAnsi="Arial" w:cs="Arial"/>
          <w:bCs/>
          <w:noProof/>
          <w:sz w:val="24"/>
          <w:szCs w:val="24"/>
          <w:lang w:val="en-US"/>
        </w:rPr>
        <w:t xml:space="preserve">in health care services </w:t>
      </w:r>
      <w:r w:rsidR="00315906" w:rsidRPr="00315906">
        <w:rPr>
          <w:rFonts w:ascii="Arial" w:hAnsi="Arial" w:cs="Arial"/>
          <w:bCs/>
          <w:noProof/>
          <w:sz w:val="24"/>
          <w:szCs w:val="24"/>
          <w:vertAlign w:val="superscript"/>
          <w:lang w:val="en-US"/>
        </w:rPr>
        <w:t>(22)</w:t>
      </w:r>
      <w:r w:rsidR="00315906" w:rsidRPr="00315906">
        <w:rPr>
          <w:rFonts w:ascii="Arial" w:hAnsi="Arial" w:cs="Arial"/>
          <w:bCs/>
          <w:noProof/>
          <w:sz w:val="24"/>
          <w:szCs w:val="24"/>
          <w:lang w:val="en-US"/>
        </w:rPr>
        <w:t>.</w:t>
      </w:r>
      <w:r w:rsidR="00315906">
        <w:rPr>
          <w:rFonts w:ascii="Arial" w:hAnsi="Arial" w:cs="Arial"/>
          <w:bCs/>
          <w:noProof/>
          <w:sz w:val="24"/>
          <w:szCs w:val="24"/>
          <w:lang w:val="en-US"/>
        </w:rPr>
        <w:t xml:space="preserve"> Similarly, there have been studies in which the scaled was applied to university students </w:t>
      </w:r>
      <w:r w:rsidR="00315906" w:rsidRPr="00315906">
        <w:rPr>
          <w:rFonts w:ascii="Arial" w:hAnsi="Arial" w:cs="Arial"/>
          <w:bCs/>
          <w:noProof/>
          <w:sz w:val="24"/>
          <w:szCs w:val="24"/>
          <w:vertAlign w:val="superscript"/>
          <w:lang w:val="en-US"/>
        </w:rPr>
        <w:t>(23)</w:t>
      </w:r>
      <w:r w:rsidR="00315906">
        <w:rPr>
          <w:rFonts w:ascii="Arial" w:hAnsi="Arial" w:cs="Arial"/>
          <w:bCs/>
          <w:noProof/>
          <w:sz w:val="24"/>
          <w:szCs w:val="24"/>
          <w:lang w:val="en-US"/>
        </w:rPr>
        <w:t xml:space="preserve">, </w:t>
      </w:r>
      <w:r w:rsidR="00373E21">
        <w:rPr>
          <w:rFonts w:ascii="Arial" w:hAnsi="Arial" w:cs="Arial"/>
          <w:bCs/>
          <w:noProof/>
          <w:sz w:val="24"/>
          <w:szCs w:val="24"/>
          <w:lang w:val="en-US"/>
        </w:rPr>
        <w:t xml:space="preserve">as well as on </w:t>
      </w:r>
      <w:r w:rsidR="00373E21" w:rsidRPr="00373E21">
        <w:rPr>
          <w:rFonts w:ascii="Arial" w:hAnsi="Arial" w:cs="Arial"/>
          <w:bCs/>
          <w:noProof/>
          <w:sz w:val="24"/>
          <w:szCs w:val="24"/>
          <w:lang w:val="en-US"/>
        </w:rPr>
        <w:t>peri</w:t>
      </w:r>
      <w:r w:rsidR="00373E21">
        <w:rPr>
          <w:rFonts w:ascii="Arial" w:hAnsi="Arial" w:cs="Arial"/>
          <w:bCs/>
          <w:noProof/>
          <w:sz w:val="24"/>
          <w:szCs w:val="24"/>
          <w:lang w:val="en-US"/>
        </w:rPr>
        <w:t xml:space="preserve">, post </w:t>
      </w:r>
      <w:r w:rsidR="00373E21" w:rsidRPr="00373E21">
        <w:rPr>
          <w:rFonts w:ascii="Arial" w:hAnsi="Arial" w:cs="Arial"/>
          <w:bCs/>
          <w:noProof/>
          <w:sz w:val="24"/>
          <w:szCs w:val="24"/>
          <w:lang w:val="en-US"/>
        </w:rPr>
        <w:t>menopausal women</w:t>
      </w:r>
      <w:r w:rsidR="00373E21">
        <w:rPr>
          <w:rFonts w:ascii="Arial" w:hAnsi="Arial" w:cs="Arial"/>
          <w:bCs/>
          <w:noProof/>
          <w:sz w:val="24"/>
          <w:szCs w:val="24"/>
          <w:lang w:val="en-US"/>
        </w:rPr>
        <w:t xml:space="preserve"> </w:t>
      </w:r>
      <w:r w:rsidR="00373E21" w:rsidRPr="00373E21">
        <w:rPr>
          <w:rFonts w:ascii="Arial" w:hAnsi="Arial" w:cs="Arial"/>
          <w:bCs/>
          <w:noProof/>
          <w:sz w:val="24"/>
          <w:szCs w:val="24"/>
          <w:vertAlign w:val="superscript"/>
          <w:lang w:val="en-US"/>
        </w:rPr>
        <w:t>(24)</w:t>
      </w:r>
      <w:r w:rsidR="00373E21">
        <w:rPr>
          <w:rFonts w:ascii="Arial" w:hAnsi="Arial" w:cs="Arial"/>
          <w:bCs/>
          <w:noProof/>
          <w:sz w:val="24"/>
          <w:szCs w:val="24"/>
          <w:vertAlign w:val="superscript"/>
          <w:lang w:val="en-US"/>
        </w:rPr>
        <w:t xml:space="preserve"> </w:t>
      </w:r>
      <w:r w:rsidR="00373E21">
        <w:rPr>
          <w:rFonts w:ascii="Arial" w:hAnsi="Arial" w:cs="Arial"/>
          <w:bCs/>
          <w:noProof/>
          <w:sz w:val="24"/>
          <w:szCs w:val="24"/>
          <w:lang w:val="en-US"/>
        </w:rPr>
        <w:t xml:space="preserve">in whose reliability test reported alpha coefficient ranging from </w:t>
      </w:r>
      <w:r w:rsidR="00373E21" w:rsidRPr="00373E21">
        <w:rPr>
          <w:rFonts w:ascii="Arial" w:hAnsi="Arial" w:cs="Arial"/>
          <w:bCs/>
          <w:noProof/>
          <w:sz w:val="24"/>
          <w:szCs w:val="24"/>
          <w:lang w:val="en-US"/>
        </w:rPr>
        <w:t>0,70</w:t>
      </w:r>
      <w:r w:rsidR="00373E21">
        <w:rPr>
          <w:rFonts w:ascii="Arial" w:hAnsi="Arial" w:cs="Arial"/>
          <w:bCs/>
          <w:noProof/>
          <w:sz w:val="24"/>
          <w:szCs w:val="24"/>
          <w:lang w:val="en-US"/>
        </w:rPr>
        <w:t xml:space="preserve"> to </w:t>
      </w:r>
      <w:r w:rsidR="00373E21" w:rsidRPr="00373E21">
        <w:rPr>
          <w:rFonts w:ascii="Arial" w:hAnsi="Arial" w:cs="Arial"/>
          <w:bCs/>
          <w:noProof/>
          <w:sz w:val="24"/>
          <w:szCs w:val="24"/>
          <w:lang w:val="en-US"/>
        </w:rPr>
        <w:t>0,87</w:t>
      </w:r>
      <w:r w:rsidR="00373E21">
        <w:rPr>
          <w:rFonts w:ascii="Arial" w:hAnsi="Arial" w:cs="Arial"/>
          <w:bCs/>
          <w:noProof/>
          <w:sz w:val="24"/>
          <w:szCs w:val="24"/>
          <w:lang w:val="en-US"/>
        </w:rPr>
        <w:t xml:space="preserve"> </w:t>
      </w:r>
      <w:r w:rsidR="00373E21" w:rsidRPr="00373E21">
        <w:rPr>
          <w:rFonts w:ascii="Arial" w:hAnsi="Arial" w:cs="Arial"/>
          <w:bCs/>
          <w:noProof/>
          <w:sz w:val="24"/>
          <w:szCs w:val="24"/>
          <w:lang w:val="en-US"/>
        </w:rPr>
        <w:t>respectively.</w:t>
      </w:r>
    </w:p>
    <w:p w:rsidR="00D80218" w:rsidRPr="00D80218" w:rsidRDefault="00D80218" w:rsidP="00FF0340">
      <w:pPr>
        <w:spacing w:line="240" w:lineRule="auto"/>
        <w:jc w:val="both"/>
        <w:rPr>
          <w:rFonts w:ascii="Arial" w:hAnsi="Arial" w:cs="Arial"/>
          <w:bCs/>
          <w:noProof/>
          <w:sz w:val="24"/>
          <w:szCs w:val="24"/>
          <w:lang w:val="en-US"/>
        </w:rPr>
      </w:pPr>
      <w:r w:rsidRPr="00D80218">
        <w:rPr>
          <w:rFonts w:ascii="Arial" w:hAnsi="Arial" w:cs="Arial"/>
          <w:bCs/>
          <w:noProof/>
          <w:sz w:val="24"/>
          <w:szCs w:val="24"/>
          <w:lang w:val="en-US"/>
        </w:rPr>
        <w:t xml:space="preserve">This instrument consists of 52 items with </w:t>
      </w:r>
      <w:r>
        <w:rPr>
          <w:rFonts w:ascii="Arial" w:hAnsi="Arial" w:cs="Arial"/>
          <w:bCs/>
          <w:noProof/>
          <w:sz w:val="24"/>
          <w:szCs w:val="24"/>
          <w:lang w:val="en-US"/>
        </w:rPr>
        <w:t>Likert answer options and of six sub</w:t>
      </w:r>
      <w:r w:rsidR="00FD75DF">
        <w:rPr>
          <w:rFonts w:ascii="Arial" w:hAnsi="Arial" w:cs="Arial"/>
          <w:bCs/>
          <w:noProof/>
          <w:sz w:val="24"/>
          <w:szCs w:val="24"/>
          <w:lang w:val="en-US"/>
        </w:rPr>
        <w:t>-</w:t>
      </w:r>
      <w:r>
        <w:rPr>
          <w:rFonts w:ascii="Arial" w:hAnsi="Arial" w:cs="Arial"/>
          <w:bCs/>
          <w:noProof/>
          <w:sz w:val="24"/>
          <w:szCs w:val="24"/>
          <w:lang w:val="en-US"/>
        </w:rPr>
        <w:t>dimensions: health responsibility, physical activity, nutrition, spiritual growth, interpersonal relationships, and stress management. Each dimension consists of 8 to 9 items</w:t>
      </w:r>
      <w:r w:rsidR="00CA545A">
        <w:rPr>
          <w:rFonts w:ascii="Arial" w:hAnsi="Arial" w:cs="Arial"/>
          <w:bCs/>
          <w:noProof/>
          <w:sz w:val="24"/>
          <w:szCs w:val="24"/>
          <w:lang w:val="en-US"/>
        </w:rPr>
        <w:t xml:space="preserve"> to which the person must answer the frequency with which the person performs activities presented in each item. The answer options and the score for each item are: Never (1), Sometimes (2), Often (3), and Always (4).</w:t>
      </w:r>
    </w:p>
    <w:p w:rsidR="009B3C81" w:rsidRPr="009B3C81" w:rsidRDefault="009B3C81" w:rsidP="00FF0340">
      <w:pPr>
        <w:spacing w:after="0" w:line="240" w:lineRule="auto"/>
        <w:jc w:val="both"/>
        <w:rPr>
          <w:rFonts w:ascii="Arial" w:hAnsi="Arial" w:cs="Arial"/>
          <w:bCs/>
          <w:noProof/>
          <w:sz w:val="24"/>
          <w:szCs w:val="24"/>
          <w:lang w:val="en-US"/>
        </w:rPr>
      </w:pPr>
      <w:r w:rsidRPr="009B3C81">
        <w:rPr>
          <w:rFonts w:ascii="Arial" w:hAnsi="Arial" w:cs="Arial"/>
          <w:bCs/>
          <w:noProof/>
          <w:sz w:val="24"/>
          <w:szCs w:val="24"/>
          <w:lang w:val="en-US"/>
        </w:rPr>
        <w:t>Regarding the Barthel Index Scale, it keeps being widely used in the last years in elder people with or without c</w:t>
      </w:r>
      <w:r>
        <w:rPr>
          <w:rFonts w:ascii="Arial" w:hAnsi="Arial" w:cs="Arial"/>
          <w:bCs/>
          <w:noProof/>
          <w:sz w:val="24"/>
          <w:szCs w:val="24"/>
          <w:lang w:val="en-US"/>
        </w:rPr>
        <w:t>h</w:t>
      </w:r>
      <w:r w:rsidRPr="009B3C81">
        <w:rPr>
          <w:rFonts w:ascii="Arial" w:hAnsi="Arial" w:cs="Arial"/>
          <w:bCs/>
          <w:noProof/>
          <w:sz w:val="24"/>
          <w:szCs w:val="24"/>
          <w:lang w:val="en-US"/>
        </w:rPr>
        <w:t xml:space="preserve">ronic </w:t>
      </w:r>
      <w:r>
        <w:rPr>
          <w:rFonts w:ascii="Arial" w:hAnsi="Arial" w:cs="Arial"/>
          <w:bCs/>
          <w:noProof/>
          <w:sz w:val="24"/>
          <w:szCs w:val="24"/>
          <w:lang w:val="en-US"/>
        </w:rPr>
        <w:t xml:space="preserve">disabling diseases </w:t>
      </w:r>
      <w:r w:rsidRPr="009B3C81">
        <w:rPr>
          <w:rFonts w:ascii="Arial" w:hAnsi="Arial" w:cs="Arial"/>
          <w:bCs/>
          <w:noProof/>
          <w:sz w:val="24"/>
          <w:szCs w:val="24"/>
          <w:lang w:val="en-US"/>
        </w:rPr>
        <w:t xml:space="preserve"> </w:t>
      </w:r>
      <w:r w:rsidRPr="009B3C81">
        <w:rPr>
          <w:rFonts w:ascii="Arial" w:hAnsi="Arial" w:cs="Arial"/>
          <w:bCs/>
          <w:noProof/>
          <w:sz w:val="24"/>
          <w:szCs w:val="24"/>
          <w:vertAlign w:val="superscript"/>
          <w:lang w:val="en-US"/>
        </w:rPr>
        <w:t>(25,26,27,28,29)</w:t>
      </w:r>
      <w:r w:rsidRPr="009B3C81">
        <w:rPr>
          <w:rFonts w:ascii="Arial" w:hAnsi="Arial" w:cs="Arial"/>
          <w:bCs/>
          <w:noProof/>
          <w:sz w:val="24"/>
          <w:szCs w:val="24"/>
          <w:lang w:val="en-US"/>
        </w:rPr>
        <w:t>.</w:t>
      </w:r>
      <w:r>
        <w:rPr>
          <w:rFonts w:ascii="Arial" w:hAnsi="Arial" w:cs="Arial"/>
          <w:bCs/>
          <w:noProof/>
          <w:sz w:val="24"/>
          <w:szCs w:val="24"/>
          <w:lang w:val="en-US"/>
        </w:rPr>
        <w:t xml:space="preserve"> Its application allows to identify the capacity a person has to perform the basic activities of daily living with or without h</w:t>
      </w:r>
      <w:r w:rsidR="00FD75DF">
        <w:rPr>
          <w:rFonts w:ascii="Arial" w:hAnsi="Arial" w:cs="Arial"/>
          <w:bCs/>
          <w:noProof/>
          <w:sz w:val="24"/>
          <w:szCs w:val="24"/>
          <w:lang w:val="en-US"/>
        </w:rPr>
        <w:t>elp as</w:t>
      </w:r>
      <w:r>
        <w:rPr>
          <w:rFonts w:ascii="Arial" w:hAnsi="Arial" w:cs="Arial"/>
          <w:bCs/>
          <w:noProof/>
          <w:sz w:val="24"/>
          <w:szCs w:val="24"/>
          <w:lang w:val="en-US"/>
        </w:rPr>
        <w:t xml:space="preserve"> eating, using the toilet, taking a shower, putti</w:t>
      </w:r>
      <w:r w:rsidR="00FD75DF">
        <w:rPr>
          <w:rFonts w:ascii="Arial" w:hAnsi="Arial" w:cs="Arial"/>
          <w:bCs/>
          <w:noProof/>
          <w:sz w:val="24"/>
          <w:szCs w:val="24"/>
          <w:lang w:val="en-US"/>
        </w:rPr>
        <w:t xml:space="preserve">ng on his clothes and caring for </w:t>
      </w:r>
      <w:r>
        <w:rPr>
          <w:rFonts w:ascii="Arial" w:hAnsi="Arial" w:cs="Arial"/>
          <w:bCs/>
          <w:noProof/>
          <w:sz w:val="24"/>
          <w:szCs w:val="24"/>
          <w:lang w:val="en-US"/>
        </w:rPr>
        <w:t xml:space="preserve">themselves (basic self-care), wandering, </w:t>
      </w:r>
      <w:r w:rsidR="00FB7A93">
        <w:rPr>
          <w:rFonts w:ascii="Arial" w:hAnsi="Arial" w:cs="Arial"/>
          <w:bCs/>
          <w:noProof/>
          <w:sz w:val="24"/>
          <w:szCs w:val="24"/>
          <w:lang w:val="en-US"/>
        </w:rPr>
        <w:t>moving from the chair to the bed, going up and down the stairs</w:t>
      </w:r>
      <w:r w:rsidR="00EE50AA">
        <w:rPr>
          <w:rFonts w:ascii="Arial" w:hAnsi="Arial" w:cs="Arial"/>
          <w:bCs/>
          <w:noProof/>
          <w:sz w:val="24"/>
          <w:szCs w:val="24"/>
          <w:lang w:val="en-US"/>
        </w:rPr>
        <w:t xml:space="preserve"> (mobility), bladder control and elimination (continence).</w:t>
      </w:r>
    </w:p>
    <w:p w:rsidR="00FD75DF" w:rsidRPr="00FD75DF" w:rsidRDefault="00FD75DF" w:rsidP="00FD75DF">
      <w:pPr>
        <w:pStyle w:val="Sinespaciado"/>
        <w:rPr>
          <w:lang w:val="en-US"/>
        </w:rPr>
      </w:pPr>
    </w:p>
    <w:p w:rsidR="00EE50AA" w:rsidRPr="00856A23" w:rsidRDefault="00EE50AA" w:rsidP="00FF0340">
      <w:pPr>
        <w:spacing w:line="240" w:lineRule="auto"/>
        <w:jc w:val="both"/>
        <w:rPr>
          <w:rFonts w:ascii="Arial" w:hAnsi="Arial" w:cs="Arial"/>
          <w:bCs/>
          <w:noProof/>
          <w:sz w:val="24"/>
          <w:szCs w:val="24"/>
          <w:lang w:val="en-US"/>
        </w:rPr>
      </w:pPr>
      <w:r w:rsidRPr="00EE50AA">
        <w:rPr>
          <w:rFonts w:ascii="Arial" w:hAnsi="Arial" w:cs="Arial"/>
          <w:bCs/>
          <w:noProof/>
          <w:sz w:val="24"/>
          <w:szCs w:val="24"/>
          <w:lang w:val="en-US"/>
        </w:rPr>
        <w:t xml:space="preserve">To identify the degree of physical dependence </w:t>
      </w:r>
      <w:r w:rsidR="008D48FE">
        <w:rPr>
          <w:rFonts w:ascii="Arial" w:hAnsi="Arial" w:cs="Arial"/>
          <w:bCs/>
          <w:noProof/>
          <w:sz w:val="24"/>
          <w:szCs w:val="24"/>
          <w:lang w:val="en-US"/>
        </w:rPr>
        <w:t>the following cut-off</w:t>
      </w:r>
      <w:r>
        <w:rPr>
          <w:rFonts w:ascii="Arial" w:hAnsi="Arial" w:cs="Arial"/>
          <w:bCs/>
          <w:noProof/>
          <w:sz w:val="24"/>
          <w:szCs w:val="24"/>
          <w:lang w:val="en-US"/>
        </w:rPr>
        <w:t xml:space="preserve"> points have been taken as reference: </w:t>
      </w:r>
      <w:r w:rsidR="00D65BC3" w:rsidRPr="00D65BC3">
        <w:rPr>
          <w:rFonts w:ascii="Arial" w:hAnsi="Arial" w:cs="Arial"/>
          <w:sz w:val="24"/>
          <w:szCs w:val="24"/>
          <w:lang w:val="en-US"/>
        </w:rPr>
        <w:t>≥85</w:t>
      </w:r>
      <w:r w:rsidR="00D65BC3">
        <w:rPr>
          <w:rFonts w:ascii="Arial" w:hAnsi="Arial" w:cs="Arial"/>
          <w:sz w:val="24"/>
          <w:szCs w:val="24"/>
          <w:lang w:val="en-US"/>
        </w:rPr>
        <w:t xml:space="preserve"> independent person, </w:t>
      </w:r>
      <w:r w:rsidR="00D65BC3" w:rsidRPr="00D65BC3">
        <w:rPr>
          <w:rFonts w:ascii="Arial" w:hAnsi="Arial" w:cs="Arial"/>
          <w:sz w:val="24"/>
          <w:szCs w:val="24"/>
          <w:lang w:val="en-US"/>
        </w:rPr>
        <w:t>60-80</w:t>
      </w:r>
      <w:r w:rsidR="00D65BC3">
        <w:rPr>
          <w:rFonts w:ascii="Arial" w:hAnsi="Arial" w:cs="Arial"/>
          <w:sz w:val="24"/>
          <w:szCs w:val="24"/>
          <w:lang w:val="en-US"/>
        </w:rPr>
        <w:t xml:space="preserve"> mild dependence, </w:t>
      </w:r>
      <w:r w:rsidR="00856A23" w:rsidRPr="00856A23">
        <w:rPr>
          <w:rFonts w:ascii="Arial" w:hAnsi="Arial" w:cs="Arial"/>
          <w:sz w:val="24"/>
          <w:szCs w:val="24"/>
          <w:lang w:val="en-US"/>
        </w:rPr>
        <w:t>40-55</w:t>
      </w:r>
      <w:r w:rsidR="00856A23">
        <w:rPr>
          <w:rFonts w:ascii="Arial" w:hAnsi="Arial" w:cs="Arial"/>
          <w:sz w:val="24"/>
          <w:szCs w:val="24"/>
          <w:lang w:val="en-US"/>
        </w:rPr>
        <w:t xml:space="preserve"> moderate dependence, </w:t>
      </w:r>
      <w:r w:rsidR="00856A23" w:rsidRPr="00856A23">
        <w:rPr>
          <w:rFonts w:ascii="Arial" w:hAnsi="Arial" w:cs="Arial"/>
          <w:sz w:val="24"/>
          <w:szCs w:val="24"/>
          <w:lang w:val="en-US"/>
        </w:rPr>
        <w:t>20-35</w:t>
      </w:r>
      <w:r w:rsidR="00856A23">
        <w:rPr>
          <w:rFonts w:ascii="Arial" w:hAnsi="Arial" w:cs="Arial"/>
          <w:sz w:val="24"/>
          <w:szCs w:val="24"/>
          <w:lang w:val="en-US"/>
        </w:rPr>
        <w:t xml:space="preserve"> serious dependence and </w:t>
      </w:r>
      <w:r w:rsidR="00856A23" w:rsidRPr="00856A23">
        <w:rPr>
          <w:rFonts w:ascii="Arial" w:hAnsi="Arial" w:cs="Arial"/>
          <w:sz w:val="24"/>
          <w:szCs w:val="24"/>
          <w:lang w:val="en-US"/>
        </w:rPr>
        <w:t>&lt; 20</w:t>
      </w:r>
      <w:r w:rsidR="00856A23">
        <w:rPr>
          <w:rFonts w:ascii="Arial" w:hAnsi="Arial" w:cs="Arial"/>
          <w:sz w:val="24"/>
          <w:szCs w:val="24"/>
          <w:lang w:val="en-US"/>
        </w:rPr>
        <w:t xml:space="preserve"> total dependence.</w:t>
      </w:r>
    </w:p>
    <w:p w:rsidR="00501C75" w:rsidRDefault="00501C75" w:rsidP="00FF0340">
      <w:pPr>
        <w:spacing w:line="240" w:lineRule="auto"/>
        <w:rPr>
          <w:rFonts w:ascii="Arial" w:hAnsi="Arial" w:cs="Arial"/>
          <w:b/>
          <w:bCs/>
          <w:noProof/>
          <w:sz w:val="24"/>
          <w:szCs w:val="24"/>
          <w:lang w:val="en-US"/>
        </w:rPr>
      </w:pPr>
    </w:p>
    <w:p w:rsidR="00FF0340" w:rsidRPr="00647C42" w:rsidRDefault="00856A23" w:rsidP="00FF0340">
      <w:pPr>
        <w:spacing w:line="240" w:lineRule="auto"/>
        <w:rPr>
          <w:rFonts w:ascii="Arial" w:hAnsi="Arial" w:cs="Arial"/>
          <w:b/>
          <w:bCs/>
          <w:noProof/>
          <w:sz w:val="24"/>
          <w:szCs w:val="24"/>
          <w:lang w:val="en-US"/>
        </w:rPr>
      </w:pPr>
      <w:r w:rsidRPr="00647C42">
        <w:rPr>
          <w:rFonts w:ascii="Arial" w:hAnsi="Arial" w:cs="Arial"/>
          <w:b/>
          <w:bCs/>
          <w:noProof/>
          <w:sz w:val="24"/>
          <w:szCs w:val="24"/>
          <w:lang w:val="en-US"/>
        </w:rPr>
        <w:t>Analisis of the Information</w:t>
      </w:r>
    </w:p>
    <w:p w:rsidR="00856A23" w:rsidRPr="00856A23" w:rsidRDefault="00856A23" w:rsidP="00856A23">
      <w:pPr>
        <w:spacing w:line="240" w:lineRule="auto"/>
        <w:jc w:val="both"/>
        <w:rPr>
          <w:rFonts w:ascii="Arial" w:hAnsi="Arial" w:cs="Arial"/>
          <w:bCs/>
          <w:noProof/>
          <w:sz w:val="24"/>
          <w:szCs w:val="24"/>
          <w:lang w:val="en-US"/>
        </w:rPr>
      </w:pPr>
      <w:r w:rsidRPr="00856A23">
        <w:rPr>
          <w:rFonts w:ascii="Arial" w:hAnsi="Arial" w:cs="Arial"/>
          <w:bCs/>
          <w:noProof/>
          <w:sz w:val="24"/>
          <w:szCs w:val="24"/>
          <w:lang w:val="en-US"/>
        </w:rPr>
        <w:t>Initially, the information obtained was processed by means of the stat</w:t>
      </w:r>
      <w:r>
        <w:rPr>
          <w:rFonts w:ascii="Arial" w:hAnsi="Arial" w:cs="Arial"/>
          <w:bCs/>
          <w:noProof/>
          <w:sz w:val="24"/>
          <w:szCs w:val="24"/>
          <w:lang w:val="en-US"/>
        </w:rPr>
        <w:t xml:space="preserve">istics software </w:t>
      </w:r>
      <w:r w:rsidRPr="00856A23">
        <w:rPr>
          <w:rFonts w:ascii="Arial" w:hAnsi="Arial" w:cs="Arial"/>
          <w:sz w:val="24"/>
          <w:szCs w:val="24"/>
          <w:lang w:val="en-US"/>
        </w:rPr>
        <w:t>IBM® SPSS® v. 22.</w:t>
      </w:r>
    </w:p>
    <w:p w:rsidR="00856A23" w:rsidRPr="00856A23" w:rsidRDefault="00856A23" w:rsidP="00FF0340">
      <w:pPr>
        <w:spacing w:line="240" w:lineRule="auto"/>
        <w:jc w:val="both"/>
        <w:rPr>
          <w:rFonts w:ascii="Arial" w:hAnsi="Arial" w:cs="Arial"/>
          <w:bCs/>
          <w:noProof/>
          <w:sz w:val="24"/>
          <w:szCs w:val="24"/>
          <w:lang w:val="en-US"/>
        </w:rPr>
      </w:pPr>
      <w:r>
        <w:rPr>
          <w:rFonts w:ascii="Arial" w:hAnsi="Arial" w:cs="Arial"/>
          <w:bCs/>
          <w:noProof/>
          <w:sz w:val="24"/>
          <w:szCs w:val="24"/>
          <w:lang w:val="en-US"/>
        </w:rPr>
        <w:t>The starting point was a description of the sociodemographic and clinical variables through frequencies and central tendency measures.</w:t>
      </w:r>
    </w:p>
    <w:p w:rsidR="00856A23" w:rsidRPr="00D51BB3" w:rsidRDefault="00634FBA" w:rsidP="00FF0340">
      <w:pPr>
        <w:spacing w:line="240" w:lineRule="auto"/>
        <w:jc w:val="both"/>
        <w:rPr>
          <w:rFonts w:ascii="Arial" w:hAnsi="Arial" w:cs="Arial"/>
          <w:bCs/>
          <w:noProof/>
          <w:sz w:val="24"/>
          <w:szCs w:val="24"/>
          <w:lang w:val="en-US"/>
        </w:rPr>
      </w:pPr>
      <w:r>
        <w:rPr>
          <w:rFonts w:ascii="Arial" w:hAnsi="Arial" w:cs="Arial"/>
          <w:bCs/>
          <w:noProof/>
          <w:sz w:val="24"/>
          <w:szCs w:val="24"/>
          <w:lang w:val="en-US"/>
        </w:rPr>
        <w:t xml:space="preserve">To describe </w:t>
      </w:r>
      <w:r w:rsidR="00E1056D">
        <w:rPr>
          <w:rFonts w:ascii="Arial" w:hAnsi="Arial" w:cs="Arial"/>
          <w:bCs/>
          <w:noProof/>
          <w:sz w:val="24"/>
          <w:szCs w:val="24"/>
          <w:lang w:val="en-US"/>
        </w:rPr>
        <w:t>the</w:t>
      </w:r>
      <w:r w:rsidR="00B00E33">
        <w:rPr>
          <w:rFonts w:ascii="Arial" w:hAnsi="Arial" w:cs="Arial"/>
          <w:bCs/>
          <w:noProof/>
          <w:sz w:val="24"/>
          <w:szCs w:val="24"/>
          <w:lang w:val="en-US"/>
        </w:rPr>
        <w:t xml:space="preserve"> health-promoting</w:t>
      </w:r>
      <w:r w:rsidR="00E1056D">
        <w:rPr>
          <w:rFonts w:ascii="Arial" w:hAnsi="Arial" w:cs="Arial"/>
          <w:bCs/>
          <w:noProof/>
          <w:sz w:val="24"/>
          <w:szCs w:val="24"/>
          <w:lang w:val="en-US"/>
        </w:rPr>
        <w:t xml:space="preserve"> lifestyle</w:t>
      </w:r>
      <w:r w:rsidR="00B00E33">
        <w:rPr>
          <w:rFonts w:ascii="Arial" w:hAnsi="Arial" w:cs="Arial"/>
          <w:bCs/>
          <w:noProof/>
          <w:sz w:val="24"/>
          <w:szCs w:val="24"/>
          <w:lang w:val="en-US"/>
        </w:rPr>
        <w:t xml:space="preserve">, the </w:t>
      </w:r>
      <w:r w:rsidR="00B00E33">
        <w:rPr>
          <w:rFonts w:ascii="Arial" w:hAnsi="Arial" w:cs="Arial"/>
          <w:sz w:val="24"/>
          <w:szCs w:val="24"/>
          <w:lang w:val="en-US"/>
        </w:rPr>
        <w:t>HPLII scale</w:t>
      </w:r>
      <w:r w:rsidR="00B00E33">
        <w:rPr>
          <w:rFonts w:ascii="Arial" w:hAnsi="Arial" w:cs="Arial"/>
          <w:bCs/>
          <w:noProof/>
          <w:sz w:val="24"/>
          <w:szCs w:val="24"/>
          <w:lang w:val="en-US"/>
        </w:rPr>
        <w:t xml:space="preserve"> global average was calculated, similarly, the average obtained for each dimension to do the analysis, tak</w:t>
      </w:r>
      <w:r w:rsidR="00D51BB3">
        <w:rPr>
          <w:rFonts w:ascii="Arial" w:hAnsi="Arial" w:cs="Arial"/>
          <w:bCs/>
          <w:noProof/>
          <w:sz w:val="24"/>
          <w:szCs w:val="24"/>
          <w:lang w:val="en-US"/>
        </w:rPr>
        <w:t>ing into account that the sum of 208 points is interpreted as a healthy life style, being this amount little or no healthy at all for values below this range</w:t>
      </w:r>
      <w:r w:rsidR="003708E2" w:rsidRPr="003708E2">
        <w:rPr>
          <w:rFonts w:ascii="Arial" w:hAnsi="Arial" w:cs="Arial"/>
          <w:bCs/>
          <w:noProof/>
          <w:sz w:val="24"/>
          <w:szCs w:val="24"/>
          <w:vertAlign w:val="superscript"/>
          <w:lang w:val="en-US"/>
        </w:rPr>
        <w:t>(</w:t>
      </w:r>
      <w:r w:rsidR="00D51BB3" w:rsidRPr="00D51BB3">
        <w:rPr>
          <w:rFonts w:ascii="Arial" w:hAnsi="Arial" w:cs="Arial"/>
          <w:sz w:val="24"/>
          <w:szCs w:val="24"/>
          <w:vertAlign w:val="superscript"/>
          <w:lang w:val="en-US"/>
        </w:rPr>
        <w:t>30</w:t>
      </w:r>
      <w:r w:rsidR="003708E2">
        <w:rPr>
          <w:rFonts w:ascii="Arial" w:hAnsi="Arial" w:cs="Arial"/>
          <w:sz w:val="24"/>
          <w:szCs w:val="24"/>
          <w:vertAlign w:val="superscript"/>
          <w:lang w:val="en-US"/>
        </w:rPr>
        <w:t>)</w:t>
      </w:r>
      <w:r w:rsidR="00D51BB3" w:rsidRPr="00D51BB3">
        <w:rPr>
          <w:rFonts w:ascii="Arial" w:hAnsi="Arial" w:cs="Arial"/>
          <w:sz w:val="24"/>
          <w:szCs w:val="24"/>
          <w:lang w:val="en-US"/>
        </w:rPr>
        <w:t>.</w:t>
      </w:r>
    </w:p>
    <w:p w:rsidR="00D51BB3" w:rsidRDefault="008D48FE" w:rsidP="00FF0340">
      <w:pPr>
        <w:spacing w:after="0" w:line="240" w:lineRule="auto"/>
        <w:jc w:val="both"/>
        <w:rPr>
          <w:rFonts w:ascii="Arial" w:hAnsi="Arial" w:cs="Arial"/>
          <w:bCs/>
          <w:noProof/>
          <w:sz w:val="24"/>
          <w:szCs w:val="24"/>
          <w:lang w:val="en-US"/>
        </w:rPr>
      </w:pPr>
      <w:r w:rsidRPr="008D48FE">
        <w:rPr>
          <w:rFonts w:ascii="Arial" w:hAnsi="Arial" w:cs="Arial"/>
          <w:bCs/>
          <w:noProof/>
          <w:sz w:val="24"/>
          <w:szCs w:val="24"/>
          <w:lang w:val="en-US"/>
        </w:rPr>
        <w:t>The degree of physical dependence was reporte</w:t>
      </w:r>
      <w:r w:rsidR="0062432B">
        <w:rPr>
          <w:rFonts w:ascii="Arial" w:hAnsi="Arial" w:cs="Arial"/>
          <w:bCs/>
          <w:noProof/>
          <w:sz w:val="24"/>
          <w:szCs w:val="24"/>
          <w:lang w:val="en-US"/>
        </w:rPr>
        <w:t xml:space="preserve">d according to the cut-off points established at the </w:t>
      </w:r>
      <w:r w:rsidR="0062432B" w:rsidRPr="0062432B">
        <w:rPr>
          <w:rFonts w:ascii="Arial" w:hAnsi="Arial" w:cs="Arial"/>
          <w:bCs/>
          <w:noProof/>
          <w:sz w:val="24"/>
          <w:szCs w:val="24"/>
          <w:lang w:val="en-US"/>
        </w:rPr>
        <w:t>Barthel</w:t>
      </w:r>
      <w:r w:rsidR="0062432B">
        <w:rPr>
          <w:rFonts w:ascii="Arial" w:hAnsi="Arial" w:cs="Arial"/>
          <w:bCs/>
          <w:noProof/>
          <w:sz w:val="24"/>
          <w:szCs w:val="24"/>
          <w:lang w:val="en-US"/>
        </w:rPr>
        <w:t xml:space="preserve"> index.</w:t>
      </w:r>
    </w:p>
    <w:p w:rsidR="0062432B" w:rsidRDefault="0062432B" w:rsidP="00FF0340">
      <w:pPr>
        <w:spacing w:after="0" w:line="240" w:lineRule="auto"/>
        <w:jc w:val="both"/>
        <w:rPr>
          <w:rFonts w:ascii="Arial" w:hAnsi="Arial" w:cs="Arial"/>
          <w:bCs/>
          <w:noProof/>
          <w:sz w:val="24"/>
          <w:szCs w:val="24"/>
          <w:lang w:val="en-US"/>
        </w:rPr>
      </w:pPr>
    </w:p>
    <w:p w:rsidR="0062432B" w:rsidRDefault="0062432B" w:rsidP="00FF0340">
      <w:pPr>
        <w:spacing w:after="0" w:line="240" w:lineRule="auto"/>
        <w:jc w:val="both"/>
        <w:rPr>
          <w:rFonts w:ascii="Arial" w:hAnsi="Arial" w:cs="Arial"/>
          <w:bCs/>
          <w:noProof/>
          <w:sz w:val="24"/>
          <w:szCs w:val="24"/>
          <w:lang w:val="en-US"/>
        </w:rPr>
      </w:pPr>
      <w:r>
        <w:rPr>
          <w:rFonts w:ascii="Arial" w:hAnsi="Arial" w:cs="Arial"/>
          <w:bCs/>
          <w:noProof/>
          <w:sz w:val="24"/>
          <w:szCs w:val="24"/>
          <w:lang w:val="en-US"/>
        </w:rPr>
        <w:t xml:space="preserve">To establish an association </w:t>
      </w:r>
      <w:r w:rsidR="00834DCA">
        <w:rPr>
          <w:rFonts w:ascii="Arial" w:hAnsi="Arial" w:cs="Arial"/>
          <w:bCs/>
          <w:noProof/>
          <w:sz w:val="24"/>
          <w:szCs w:val="24"/>
          <w:lang w:val="en-US"/>
        </w:rPr>
        <w:t>among the var</w:t>
      </w:r>
      <w:r w:rsidR="00CA6AB3">
        <w:rPr>
          <w:rFonts w:ascii="Arial" w:hAnsi="Arial" w:cs="Arial"/>
          <w:bCs/>
          <w:noProof/>
          <w:sz w:val="24"/>
          <w:szCs w:val="24"/>
          <w:lang w:val="en-US"/>
        </w:rPr>
        <w:t>i</w:t>
      </w:r>
      <w:r w:rsidR="00834DCA">
        <w:rPr>
          <w:rFonts w:ascii="Arial" w:hAnsi="Arial" w:cs="Arial"/>
          <w:bCs/>
          <w:noProof/>
          <w:sz w:val="24"/>
          <w:szCs w:val="24"/>
          <w:lang w:val="en-US"/>
        </w:rPr>
        <w:t>ables related to the socio-demographic aspects, the clinical aspects, the health-promoting</w:t>
      </w:r>
      <w:r w:rsidR="0040168A">
        <w:rPr>
          <w:rFonts w:ascii="Arial" w:hAnsi="Arial" w:cs="Arial"/>
          <w:bCs/>
          <w:noProof/>
          <w:sz w:val="24"/>
          <w:szCs w:val="24"/>
          <w:lang w:val="en-US"/>
        </w:rPr>
        <w:t xml:space="preserve"> lifestyle (health promotion behaviors</w:t>
      </w:r>
      <w:r w:rsidR="00834DCA">
        <w:rPr>
          <w:rFonts w:ascii="Arial" w:hAnsi="Arial" w:cs="Arial"/>
          <w:bCs/>
          <w:noProof/>
          <w:sz w:val="24"/>
          <w:szCs w:val="24"/>
          <w:lang w:val="en-US"/>
        </w:rPr>
        <w:t>) and the degree of physical dependence, a</w:t>
      </w:r>
      <w:r>
        <w:rPr>
          <w:rFonts w:ascii="Arial" w:hAnsi="Arial" w:cs="Arial"/>
          <w:bCs/>
          <w:noProof/>
          <w:sz w:val="24"/>
          <w:szCs w:val="24"/>
          <w:lang w:val="en-US"/>
        </w:rPr>
        <w:t xml:space="preserve"> </w:t>
      </w:r>
      <w:r w:rsidRPr="0062432B">
        <w:rPr>
          <w:rFonts w:ascii="Arial" w:hAnsi="Arial" w:cs="Arial"/>
          <w:bCs/>
          <w:noProof/>
          <w:sz w:val="24"/>
          <w:szCs w:val="24"/>
          <w:lang w:val="en-US"/>
        </w:rPr>
        <w:t>bi</w:t>
      </w:r>
      <w:r w:rsidR="00CA6AB3">
        <w:rPr>
          <w:rFonts w:ascii="Arial" w:hAnsi="Arial" w:cs="Arial"/>
          <w:bCs/>
          <w:noProof/>
          <w:sz w:val="24"/>
          <w:szCs w:val="24"/>
          <w:lang w:val="en-US"/>
        </w:rPr>
        <w:t>-</w:t>
      </w:r>
      <w:r w:rsidRPr="0062432B">
        <w:rPr>
          <w:rFonts w:ascii="Arial" w:hAnsi="Arial" w:cs="Arial"/>
          <w:bCs/>
          <w:noProof/>
          <w:sz w:val="24"/>
          <w:szCs w:val="24"/>
          <w:lang w:val="en-US"/>
        </w:rPr>
        <w:t>variated analysis</w:t>
      </w:r>
      <w:r>
        <w:rPr>
          <w:rFonts w:ascii="Arial" w:hAnsi="Arial" w:cs="Arial"/>
          <w:bCs/>
          <w:noProof/>
          <w:sz w:val="24"/>
          <w:szCs w:val="24"/>
          <w:lang w:val="en-US"/>
        </w:rPr>
        <w:t xml:space="preserve"> </w:t>
      </w:r>
      <w:r w:rsidR="00834DCA">
        <w:rPr>
          <w:rFonts w:ascii="Arial" w:hAnsi="Arial" w:cs="Arial"/>
          <w:bCs/>
          <w:noProof/>
          <w:sz w:val="24"/>
          <w:szCs w:val="24"/>
          <w:lang w:val="en-US"/>
        </w:rPr>
        <w:t>was performed.</w:t>
      </w:r>
    </w:p>
    <w:p w:rsidR="0062432B" w:rsidRPr="0062432B" w:rsidRDefault="0062432B" w:rsidP="00FF0340">
      <w:pPr>
        <w:spacing w:after="0" w:line="240" w:lineRule="auto"/>
        <w:jc w:val="both"/>
        <w:rPr>
          <w:rFonts w:ascii="Arial" w:hAnsi="Arial" w:cs="Arial"/>
          <w:bCs/>
          <w:noProof/>
          <w:sz w:val="24"/>
          <w:szCs w:val="24"/>
          <w:lang w:val="en-US"/>
        </w:rPr>
      </w:pPr>
    </w:p>
    <w:p w:rsidR="00501C75" w:rsidRDefault="00501C75" w:rsidP="00FF0340">
      <w:pPr>
        <w:spacing w:line="240" w:lineRule="auto"/>
        <w:jc w:val="both"/>
        <w:rPr>
          <w:rFonts w:ascii="Arial" w:hAnsi="Arial" w:cs="Arial"/>
          <w:b/>
          <w:bCs/>
          <w:noProof/>
          <w:sz w:val="24"/>
          <w:szCs w:val="24"/>
          <w:lang w:val="en-US"/>
        </w:rPr>
      </w:pPr>
    </w:p>
    <w:p w:rsidR="00920F44" w:rsidRDefault="00920F44" w:rsidP="00FF0340">
      <w:pPr>
        <w:spacing w:line="240" w:lineRule="auto"/>
        <w:jc w:val="both"/>
        <w:rPr>
          <w:rFonts w:ascii="Arial" w:hAnsi="Arial" w:cs="Arial"/>
          <w:b/>
          <w:bCs/>
          <w:noProof/>
          <w:sz w:val="24"/>
          <w:szCs w:val="24"/>
          <w:lang w:val="en-US"/>
        </w:rPr>
      </w:pPr>
      <w:r w:rsidRPr="0005119D">
        <w:rPr>
          <w:rFonts w:ascii="Arial" w:hAnsi="Arial" w:cs="Arial"/>
          <w:b/>
          <w:bCs/>
          <w:noProof/>
          <w:sz w:val="24"/>
          <w:szCs w:val="24"/>
          <w:lang w:val="en-US"/>
        </w:rPr>
        <w:t>RESULTS:</w:t>
      </w:r>
    </w:p>
    <w:p w:rsidR="00D822B3" w:rsidRPr="0005119D" w:rsidRDefault="00D822B3" w:rsidP="00FF0340">
      <w:pPr>
        <w:spacing w:line="240" w:lineRule="auto"/>
        <w:jc w:val="both"/>
        <w:rPr>
          <w:rFonts w:ascii="Arial" w:hAnsi="Arial" w:cs="Arial"/>
          <w:b/>
          <w:bCs/>
          <w:noProof/>
          <w:sz w:val="24"/>
          <w:szCs w:val="24"/>
          <w:lang w:val="en-US"/>
        </w:rPr>
      </w:pPr>
    </w:p>
    <w:p w:rsidR="00920F44" w:rsidRPr="0005119D" w:rsidRDefault="005C584D" w:rsidP="00FF0340">
      <w:pPr>
        <w:spacing w:line="240" w:lineRule="auto"/>
        <w:jc w:val="both"/>
        <w:rPr>
          <w:rFonts w:ascii="Arial" w:hAnsi="Arial" w:cs="Arial"/>
          <w:b/>
          <w:bCs/>
          <w:noProof/>
          <w:sz w:val="24"/>
          <w:szCs w:val="24"/>
          <w:lang w:val="en-US"/>
        </w:rPr>
      </w:pPr>
      <w:r w:rsidRPr="0005119D">
        <w:rPr>
          <w:rFonts w:ascii="Arial" w:hAnsi="Arial" w:cs="Arial"/>
          <w:b/>
          <w:bCs/>
          <w:noProof/>
          <w:sz w:val="24"/>
          <w:szCs w:val="24"/>
          <w:lang w:val="en-US"/>
        </w:rPr>
        <w:t>Sociodemographic and Clinical Features</w:t>
      </w:r>
    </w:p>
    <w:p w:rsidR="005C584D" w:rsidRDefault="00647C42" w:rsidP="00FF0340">
      <w:pPr>
        <w:spacing w:after="0" w:line="240" w:lineRule="auto"/>
        <w:jc w:val="both"/>
        <w:rPr>
          <w:rFonts w:ascii="Arial" w:hAnsi="Arial" w:cs="Arial"/>
          <w:bCs/>
          <w:noProof/>
          <w:sz w:val="24"/>
          <w:szCs w:val="24"/>
          <w:lang w:val="en-US"/>
        </w:rPr>
      </w:pPr>
      <w:r w:rsidRPr="00647C42">
        <w:rPr>
          <w:rFonts w:ascii="Arial" w:hAnsi="Arial" w:cs="Arial"/>
          <w:bCs/>
          <w:noProof/>
          <w:sz w:val="24"/>
          <w:szCs w:val="24"/>
          <w:lang w:val="en-US"/>
        </w:rPr>
        <w:t>The greater percentage of the population consisted o</w:t>
      </w:r>
      <w:r w:rsidR="00293F3B">
        <w:rPr>
          <w:rFonts w:ascii="Arial" w:hAnsi="Arial" w:cs="Arial"/>
          <w:bCs/>
          <w:noProof/>
          <w:sz w:val="24"/>
          <w:szCs w:val="24"/>
          <w:lang w:val="en-US"/>
        </w:rPr>
        <w:t>f</w:t>
      </w:r>
      <w:r w:rsidRPr="00647C42">
        <w:rPr>
          <w:rFonts w:ascii="Arial" w:hAnsi="Arial" w:cs="Arial"/>
          <w:bCs/>
          <w:noProof/>
          <w:sz w:val="24"/>
          <w:szCs w:val="24"/>
          <w:lang w:val="en-US"/>
        </w:rPr>
        <w:t xml:space="preserve"> women in </w:t>
      </w:r>
      <w:r>
        <w:rPr>
          <w:rFonts w:ascii="Arial" w:hAnsi="Arial" w:cs="Arial"/>
          <w:bCs/>
          <w:noProof/>
          <w:sz w:val="24"/>
          <w:szCs w:val="24"/>
          <w:lang w:val="en-US"/>
        </w:rPr>
        <w:t>68,</w:t>
      </w:r>
      <w:r w:rsidRPr="00647C42">
        <w:rPr>
          <w:rFonts w:ascii="Arial" w:hAnsi="Arial" w:cs="Arial"/>
          <w:bCs/>
          <w:noProof/>
          <w:sz w:val="24"/>
          <w:szCs w:val="24"/>
          <w:lang w:val="en-US"/>
        </w:rPr>
        <w:t>8%.</w:t>
      </w:r>
      <w:r>
        <w:rPr>
          <w:rFonts w:ascii="Arial" w:hAnsi="Arial" w:cs="Arial"/>
          <w:bCs/>
          <w:noProof/>
          <w:sz w:val="24"/>
          <w:szCs w:val="24"/>
          <w:lang w:val="en-US"/>
        </w:rPr>
        <w:t xml:space="preserve"> </w:t>
      </w:r>
      <w:r w:rsidRPr="00647C42">
        <w:rPr>
          <w:rFonts w:ascii="Arial" w:hAnsi="Arial" w:cs="Arial"/>
          <w:bCs/>
          <w:noProof/>
          <w:sz w:val="24"/>
          <w:szCs w:val="24"/>
          <w:lang w:val="en-US"/>
        </w:rPr>
        <w:t>44% of the part</w:t>
      </w:r>
      <w:r>
        <w:rPr>
          <w:rFonts w:ascii="Arial" w:hAnsi="Arial" w:cs="Arial"/>
          <w:bCs/>
          <w:noProof/>
          <w:sz w:val="24"/>
          <w:szCs w:val="24"/>
          <w:lang w:val="en-US"/>
        </w:rPr>
        <w:t>icipants were in ages that coul</w:t>
      </w:r>
      <w:r w:rsidRPr="00647C42">
        <w:rPr>
          <w:rFonts w:ascii="Arial" w:hAnsi="Arial" w:cs="Arial"/>
          <w:bCs/>
          <w:noProof/>
          <w:sz w:val="24"/>
          <w:szCs w:val="24"/>
          <w:lang w:val="en-US"/>
        </w:rPr>
        <w:t xml:space="preserve">d be defined as </w:t>
      </w:r>
      <w:r>
        <w:rPr>
          <w:rFonts w:ascii="Arial" w:hAnsi="Arial" w:cs="Arial"/>
          <w:bCs/>
          <w:noProof/>
          <w:sz w:val="24"/>
          <w:szCs w:val="24"/>
          <w:lang w:val="en-US"/>
        </w:rPr>
        <w:t>mature adults (35-59 years old</w:t>
      </w:r>
      <w:r w:rsidRPr="00647C42">
        <w:rPr>
          <w:rFonts w:ascii="Arial" w:hAnsi="Arial" w:cs="Arial"/>
          <w:bCs/>
          <w:noProof/>
          <w:sz w:val="24"/>
          <w:szCs w:val="24"/>
          <w:lang w:val="en-US"/>
        </w:rPr>
        <w:t>)</w:t>
      </w:r>
      <w:r>
        <w:rPr>
          <w:rFonts w:ascii="Arial" w:hAnsi="Arial" w:cs="Arial"/>
          <w:bCs/>
          <w:noProof/>
          <w:sz w:val="24"/>
          <w:szCs w:val="24"/>
          <w:lang w:val="en-US"/>
        </w:rPr>
        <w:t xml:space="preserve"> and the </w:t>
      </w:r>
    </w:p>
    <w:p w:rsidR="00647C42" w:rsidRPr="00A30175" w:rsidRDefault="00293F3B" w:rsidP="00FF0340">
      <w:pPr>
        <w:spacing w:after="0" w:line="240" w:lineRule="auto"/>
        <w:jc w:val="both"/>
        <w:rPr>
          <w:rFonts w:ascii="Arial" w:hAnsi="Arial" w:cs="Arial"/>
          <w:bCs/>
          <w:noProof/>
          <w:sz w:val="24"/>
          <w:szCs w:val="24"/>
          <w:lang w:val="en-US"/>
        </w:rPr>
      </w:pPr>
      <w:r>
        <w:rPr>
          <w:rFonts w:ascii="Arial" w:hAnsi="Arial" w:cs="Arial"/>
          <w:bCs/>
          <w:noProof/>
          <w:sz w:val="24"/>
          <w:szCs w:val="24"/>
          <w:lang w:val="en-US"/>
        </w:rPr>
        <w:t>56% of</w:t>
      </w:r>
      <w:r w:rsidR="00647C42" w:rsidRPr="009E3B90">
        <w:rPr>
          <w:rFonts w:ascii="Arial" w:hAnsi="Arial" w:cs="Arial"/>
          <w:bCs/>
          <w:noProof/>
          <w:sz w:val="24"/>
          <w:szCs w:val="24"/>
          <w:lang w:val="en-US"/>
        </w:rPr>
        <w:t xml:space="preserve"> seniors (&gt; 60 years old). T</w:t>
      </w:r>
      <w:r w:rsidR="009E3B90">
        <w:rPr>
          <w:rFonts w:ascii="Arial" w:hAnsi="Arial" w:cs="Arial"/>
          <w:bCs/>
          <w:noProof/>
          <w:sz w:val="24"/>
          <w:szCs w:val="24"/>
          <w:lang w:val="en-US"/>
        </w:rPr>
        <w:t xml:space="preserve">he lowest age recorded </w:t>
      </w:r>
      <w:r w:rsidR="000E7ACC">
        <w:rPr>
          <w:rFonts w:ascii="Arial" w:hAnsi="Arial" w:cs="Arial"/>
          <w:bCs/>
          <w:noProof/>
          <w:sz w:val="24"/>
          <w:szCs w:val="24"/>
          <w:lang w:val="en-US"/>
        </w:rPr>
        <w:t>was 42 years old and the highest</w:t>
      </w:r>
      <w:r w:rsidR="00FC185A">
        <w:rPr>
          <w:rFonts w:ascii="Arial" w:hAnsi="Arial" w:cs="Arial"/>
          <w:bCs/>
          <w:noProof/>
          <w:sz w:val="24"/>
          <w:szCs w:val="24"/>
          <w:lang w:val="en-US"/>
        </w:rPr>
        <w:t xml:space="preserve"> was 95 years old, with an average of 67 years old. </w:t>
      </w:r>
      <w:r w:rsidR="00A30175">
        <w:rPr>
          <w:rFonts w:ascii="Arial" w:hAnsi="Arial" w:cs="Arial"/>
          <w:bCs/>
          <w:noProof/>
          <w:sz w:val="24"/>
          <w:szCs w:val="24"/>
          <w:lang w:val="en-US"/>
        </w:rPr>
        <w:t>In t</w:t>
      </w:r>
      <w:r w:rsidR="00FC185A">
        <w:rPr>
          <w:rFonts w:ascii="Arial" w:hAnsi="Arial" w:cs="Arial"/>
          <w:bCs/>
          <w:noProof/>
          <w:sz w:val="24"/>
          <w:szCs w:val="24"/>
          <w:lang w:val="en-US"/>
        </w:rPr>
        <w:t>he group of women</w:t>
      </w:r>
      <w:r>
        <w:rPr>
          <w:rFonts w:ascii="Arial" w:hAnsi="Arial" w:cs="Arial"/>
          <w:bCs/>
          <w:noProof/>
          <w:sz w:val="24"/>
          <w:szCs w:val="24"/>
          <w:lang w:val="en-US"/>
        </w:rPr>
        <w:t>,</w:t>
      </w:r>
      <w:r w:rsidR="00A30175">
        <w:rPr>
          <w:rFonts w:ascii="Arial" w:hAnsi="Arial" w:cs="Arial"/>
          <w:bCs/>
          <w:noProof/>
          <w:sz w:val="24"/>
          <w:szCs w:val="24"/>
          <w:lang w:val="en-US"/>
        </w:rPr>
        <w:t xml:space="preserve"> the highest age percentage reported </w:t>
      </w:r>
      <w:r w:rsidR="00A80754" w:rsidRPr="00A30175">
        <w:rPr>
          <w:rFonts w:ascii="Arial" w:hAnsi="Arial" w:cs="Arial"/>
          <w:bCs/>
          <w:noProof/>
          <w:sz w:val="24"/>
          <w:szCs w:val="24"/>
          <w:lang w:val="en-US"/>
        </w:rPr>
        <w:t>(53,4%)</w:t>
      </w:r>
      <w:r w:rsidR="00A80754">
        <w:rPr>
          <w:rFonts w:ascii="Arial" w:hAnsi="Arial" w:cs="Arial"/>
          <w:bCs/>
          <w:noProof/>
          <w:sz w:val="24"/>
          <w:szCs w:val="24"/>
          <w:lang w:val="en-US"/>
        </w:rPr>
        <w:t xml:space="preserve"> </w:t>
      </w:r>
      <w:r w:rsidR="00A30175">
        <w:rPr>
          <w:rFonts w:ascii="Arial" w:hAnsi="Arial" w:cs="Arial"/>
          <w:bCs/>
          <w:noProof/>
          <w:sz w:val="24"/>
          <w:szCs w:val="24"/>
          <w:lang w:val="en-US"/>
        </w:rPr>
        <w:t>was between 60-79 years old</w:t>
      </w:r>
      <w:r w:rsidR="00A30175" w:rsidRPr="00A30175">
        <w:rPr>
          <w:rFonts w:ascii="Arial" w:hAnsi="Arial" w:cs="Arial"/>
          <w:bCs/>
          <w:noProof/>
          <w:sz w:val="24"/>
          <w:szCs w:val="24"/>
          <w:lang w:val="en-US"/>
        </w:rPr>
        <w:t>;</w:t>
      </w:r>
      <w:r w:rsidR="00A30175">
        <w:rPr>
          <w:rFonts w:ascii="Arial" w:hAnsi="Arial" w:cs="Arial"/>
          <w:bCs/>
          <w:noProof/>
          <w:sz w:val="24"/>
          <w:szCs w:val="24"/>
          <w:lang w:val="en-US"/>
        </w:rPr>
        <w:t xml:space="preserve"> and in the group of men, the highest percentage </w:t>
      </w:r>
      <w:r w:rsidR="00A30175" w:rsidRPr="00A30175">
        <w:rPr>
          <w:rFonts w:ascii="Arial" w:hAnsi="Arial" w:cs="Arial"/>
          <w:bCs/>
          <w:noProof/>
          <w:sz w:val="24"/>
          <w:szCs w:val="24"/>
          <w:lang w:val="en-US"/>
        </w:rPr>
        <w:t>(41%)</w:t>
      </w:r>
      <w:r w:rsidR="00A80754">
        <w:rPr>
          <w:rFonts w:ascii="Arial" w:hAnsi="Arial" w:cs="Arial"/>
          <w:bCs/>
          <w:noProof/>
          <w:sz w:val="24"/>
          <w:szCs w:val="24"/>
          <w:lang w:val="en-US"/>
        </w:rPr>
        <w:t xml:space="preserve"> was between 70 and 79 years old.</w:t>
      </w:r>
    </w:p>
    <w:p w:rsidR="00647C42" w:rsidRPr="00647C42" w:rsidRDefault="00647C42" w:rsidP="00FF0340">
      <w:pPr>
        <w:spacing w:after="0" w:line="240" w:lineRule="auto"/>
        <w:jc w:val="both"/>
        <w:rPr>
          <w:rFonts w:ascii="Arial" w:hAnsi="Arial" w:cs="Arial"/>
          <w:bCs/>
          <w:noProof/>
          <w:sz w:val="24"/>
          <w:szCs w:val="24"/>
          <w:lang w:val="en-US"/>
        </w:rPr>
      </w:pPr>
    </w:p>
    <w:p w:rsidR="00EC42BE" w:rsidRPr="00EC42BE" w:rsidRDefault="0005119D" w:rsidP="00EC42BE">
      <w:pPr>
        <w:jc w:val="both"/>
        <w:rPr>
          <w:rFonts w:ascii="Arial" w:hAnsi="Arial" w:cs="Arial"/>
          <w:noProof/>
          <w:sz w:val="24"/>
          <w:szCs w:val="24"/>
          <w:lang w:val="en-US" w:eastAsia="es-CO"/>
        </w:rPr>
      </w:pPr>
      <w:r>
        <w:rPr>
          <w:rFonts w:ascii="Arial" w:hAnsi="Arial" w:cs="Arial"/>
          <w:noProof/>
          <w:sz w:val="24"/>
          <w:szCs w:val="24"/>
          <w:lang w:val="en-US" w:eastAsia="es-CO"/>
        </w:rPr>
        <w:t>T</w:t>
      </w:r>
      <w:r w:rsidR="004535A5" w:rsidRPr="005361E4">
        <w:rPr>
          <w:rFonts w:ascii="Arial" w:hAnsi="Arial" w:cs="Arial"/>
          <w:noProof/>
          <w:sz w:val="24"/>
          <w:szCs w:val="24"/>
          <w:lang w:val="en-US" w:eastAsia="es-CO"/>
        </w:rPr>
        <w:t>he marital</w:t>
      </w:r>
      <w:r w:rsidR="00E76537">
        <w:rPr>
          <w:rFonts w:ascii="Arial" w:hAnsi="Arial" w:cs="Arial"/>
          <w:noProof/>
          <w:sz w:val="24"/>
          <w:szCs w:val="24"/>
          <w:lang w:val="en-US" w:eastAsia="es-CO"/>
        </w:rPr>
        <w:t xml:space="preserve"> status of the participants </w:t>
      </w:r>
      <w:r w:rsidR="004535A5" w:rsidRPr="005361E4">
        <w:rPr>
          <w:rFonts w:ascii="Arial" w:hAnsi="Arial" w:cs="Arial"/>
          <w:noProof/>
          <w:sz w:val="24"/>
          <w:szCs w:val="24"/>
          <w:lang w:val="en-US" w:eastAsia="es-CO"/>
        </w:rPr>
        <w:t xml:space="preserve">is </w:t>
      </w:r>
      <w:r>
        <w:rPr>
          <w:rFonts w:ascii="Arial" w:hAnsi="Arial" w:cs="Arial"/>
          <w:noProof/>
          <w:sz w:val="24"/>
          <w:szCs w:val="24"/>
          <w:lang w:val="en-US" w:eastAsia="es-CO"/>
        </w:rPr>
        <w:t xml:space="preserve">proportionally distributed </w:t>
      </w:r>
      <w:r w:rsidR="005361E4">
        <w:rPr>
          <w:rFonts w:ascii="Arial" w:hAnsi="Arial" w:cs="Arial"/>
          <w:noProof/>
          <w:sz w:val="24"/>
          <w:szCs w:val="24"/>
          <w:lang w:val="en-US" w:eastAsia="es-CO"/>
        </w:rPr>
        <w:t>among single</w:t>
      </w:r>
      <w:r w:rsidR="00E76537">
        <w:rPr>
          <w:rFonts w:ascii="Arial" w:hAnsi="Arial" w:cs="Arial"/>
          <w:noProof/>
          <w:sz w:val="24"/>
          <w:szCs w:val="24"/>
          <w:lang w:val="en-US" w:eastAsia="es-CO"/>
        </w:rPr>
        <w:t xml:space="preserve"> people</w:t>
      </w:r>
      <w:r w:rsidR="005361E4">
        <w:rPr>
          <w:rFonts w:ascii="Arial" w:hAnsi="Arial" w:cs="Arial"/>
          <w:noProof/>
          <w:sz w:val="24"/>
          <w:szCs w:val="24"/>
          <w:lang w:val="en-US" w:eastAsia="es-CO"/>
        </w:rPr>
        <w:t xml:space="preserve"> </w:t>
      </w:r>
      <w:r w:rsidR="005361E4" w:rsidRPr="005361E4">
        <w:rPr>
          <w:rFonts w:ascii="Arial" w:hAnsi="Arial" w:cs="Arial"/>
          <w:noProof/>
          <w:sz w:val="24"/>
          <w:szCs w:val="24"/>
          <w:lang w:val="en-US" w:eastAsia="es-CO"/>
        </w:rPr>
        <w:t>(25,6%),</w:t>
      </w:r>
      <w:r w:rsidR="005361E4">
        <w:rPr>
          <w:rFonts w:ascii="Arial" w:hAnsi="Arial" w:cs="Arial"/>
          <w:noProof/>
          <w:sz w:val="24"/>
          <w:szCs w:val="24"/>
          <w:lang w:val="en-US" w:eastAsia="es-CO"/>
        </w:rPr>
        <w:t xml:space="preserve"> married people</w:t>
      </w:r>
      <w:r w:rsidR="005361E4" w:rsidRPr="005361E4">
        <w:rPr>
          <w:rFonts w:ascii="Arial" w:hAnsi="Arial" w:cs="Arial"/>
          <w:noProof/>
          <w:sz w:val="24"/>
          <w:szCs w:val="24"/>
          <w:lang w:val="en-US" w:eastAsia="es-CO"/>
        </w:rPr>
        <w:t xml:space="preserve"> (22,4%) </w:t>
      </w:r>
      <w:r w:rsidR="005361E4">
        <w:rPr>
          <w:rFonts w:ascii="Arial" w:hAnsi="Arial" w:cs="Arial"/>
          <w:noProof/>
          <w:sz w:val="24"/>
          <w:szCs w:val="24"/>
          <w:lang w:val="en-US" w:eastAsia="es-CO"/>
        </w:rPr>
        <w:t xml:space="preserve">and widowers </w:t>
      </w:r>
      <w:r w:rsidR="00E76537">
        <w:rPr>
          <w:rFonts w:ascii="Arial" w:hAnsi="Arial" w:cs="Arial"/>
          <w:noProof/>
          <w:sz w:val="24"/>
          <w:szCs w:val="24"/>
          <w:lang w:val="en-US" w:eastAsia="es-CO"/>
        </w:rPr>
        <w:t>(24,8%).</w:t>
      </w:r>
      <w:r w:rsidR="005361E4">
        <w:rPr>
          <w:rFonts w:ascii="Arial" w:hAnsi="Arial" w:cs="Arial"/>
          <w:noProof/>
          <w:sz w:val="24"/>
          <w:szCs w:val="24"/>
          <w:lang w:val="en-US" w:eastAsia="es-CO"/>
        </w:rPr>
        <w:t xml:space="preserve"> </w:t>
      </w:r>
      <w:r w:rsidR="00E76537">
        <w:rPr>
          <w:rFonts w:ascii="Arial" w:hAnsi="Arial" w:cs="Arial"/>
          <w:noProof/>
          <w:sz w:val="24"/>
          <w:szCs w:val="24"/>
          <w:lang w:val="en-US" w:eastAsia="es-CO"/>
        </w:rPr>
        <w:t>I</w:t>
      </w:r>
      <w:r w:rsidR="001A561F">
        <w:rPr>
          <w:rFonts w:ascii="Arial" w:hAnsi="Arial" w:cs="Arial"/>
          <w:noProof/>
          <w:sz w:val="24"/>
          <w:szCs w:val="24"/>
          <w:lang w:val="en-US" w:eastAsia="es-CO"/>
        </w:rPr>
        <w:t xml:space="preserve">n a lower proportion, there is </w:t>
      </w:r>
      <w:r w:rsidR="00293F3B">
        <w:rPr>
          <w:rFonts w:ascii="Arial" w:hAnsi="Arial" w:cs="Arial"/>
          <w:noProof/>
          <w:sz w:val="24"/>
          <w:szCs w:val="24"/>
          <w:lang w:val="en-US" w:eastAsia="es-CO"/>
        </w:rPr>
        <w:t xml:space="preserve">a </w:t>
      </w:r>
      <w:r w:rsidR="001A561F">
        <w:rPr>
          <w:rFonts w:ascii="Arial" w:hAnsi="Arial" w:cs="Arial"/>
          <w:noProof/>
          <w:sz w:val="24"/>
          <w:szCs w:val="24"/>
          <w:lang w:val="en-US" w:eastAsia="es-CO"/>
        </w:rPr>
        <w:t xml:space="preserve">prevalence of </w:t>
      </w:r>
      <w:r w:rsidR="009B35F3">
        <w:rPr>
          <w:rFonts w:ascii="Arial" w:hAnsi="Arial" w:cs="Arial"/>
          <w:noProof/>
          <w:sz w:val="24"/>
          <w:szCs w:val="24"/>
          <w:lang w:val="en-US" w:eastAsia="es-CO"/>
        </w:rPr>
        <w:t xml:space="preserve">people who </w:t>
      </w:r>
      <w:r w:rsidR="00293F3B">
        <w:rPr>
          <w:rFonts w:ascii="Arial" w:hAnsi="Arial" w:cs="Arial"/>
          <w:noProof/>
          <w:sz w:val="24"/>
          <w:szCs w:val="24"/>
          <w:lang w:val="en-US" w:eastAsia="es-CO"/>
        </w:rPr>
        <w:t>live under domestic part</w:t>
      </w:r>
      <w:r w:rsidR="00E76537">
        <w:rPr>
          <w:rFonts w:ascii="Arial" w:hAnsi="Arial" w:cs="Arial"/>
          <w:noProof/>
          <w:sz w:val="24"/>
          <w:szCs w:val="24"/>
          <w:lang w:val="en-US" w:eastAsia="es-CO"/>
        </w:rPr>
        <w:t xml:space="preserve">nership </w:t>
      </w:r>
      <w:r w:rsidR="001A561F">
        <w:rPr>
          <w:rFonts w:ascii="Arial" w:hAnsi="Arial" w:cs="Arial"/>
          <w:noProof/>
          <w:sz w:val="24"/>
          <w:szCs w:val="24"/>
          <w:lang w:val="en-US" w:eastAsia="es-CO"/>
        </w:rPr>
        <w:t xml:space="preserve">and the ones who are divorced. </w:t>
      </w:r>
      <w:r w:rsidR="0006750A">
        <w:rPr>
          <w:rFonts w:ascii="Arial" w:hAnsi="Arial" w:cs="Arial"/>
          <w:noProof/>
          <w:sz w:val="24"/>
          <w:szCs w:val="24"/>
          <w:lang w:val="en-US" w:eastAsia="es-CO"/>
        </w:rPr>
        <w:t xml:space="preserve">A greater percentage of people belong to the second social stratum </w:t>
      </w:r>
      <w:r w:rsidR="0006750A" w:rsidRPr="0006750A">
        <w:rPr>
          <w:rFonts w:ascii="Arial" w:hAnsi="Arial" w:cs="Arial"/>
          <w:noProof/>
          <w:sz w:val="24"/>
          <w:szCs w:val="24"/>
          <w:lang w:val="en-US" w:eastAsia="es-CO"/>
        </w:rPr>
        <w:t>(48%),</w:t>
      </w:r>
      <w:r w:rsidR="0006750A">
        <w:rPr>
          <w:rFonts w:ascii="Arial" w:hAnsi="Arial" w:cs="Arial"/>
          <w:noProof/>
          <w:sz w:val="24"/>
          <w:szCs w:val="24"/>
          <w:lang w:val="en-US" w:eastAsia="es-CO"/>
        </w:rPr>
        <w:t xml:space="preserve"> followed by the ones who belong to the first stratum </w:t>
      </w:r>
      <w:r w:rsidR="0006750A" w:rsidRPr="0006750A">
        <w:rPr>
          <w:rFonts w:ascii="Arial" w:hAnsi="Arial" w:cs="Arial"/>
          <w:noProof/>
          <w:sz w:val="24"/>
          <w:szCs w:val="24"/>
          <w:lang w:val="en-US" w:eastAsia="es-CO"/>
        </w:rPr>
        <w:t>(36%).</w:t>
      </w:r>
      <w:r w:rsidR="0006750A">
        <w:rPr>
          <w:rFonts w:ascii="Arial" w:hAnsi="Arial" w:cs="Arial"/>
          <w:noProof/>
          <w:sz w:val="24"/>
          <w:szCs w:val="24"/>
          <w:lang w:val="en-US" w:eastAsia="es-CO"/>
        </w:rPr>
        <w:t xml:space="preserve"> Regarding their level of sch</w:t>
      </w:r>
      <w:r w:rsidR="00293F3B">
        <w:rPr>
          <w:rFonts w:ascii="Arial" w:hAnsi="Arial" w:cs="Arial"/>
          <w:noProof/>
          <w:sz w:val="24"/>
          <w:szCs w:val="24"/>
          <w:lang w:val="en-US" w:eastAsia="es-CO"/>
        </w:rPr>
        <w:t>ooling, there is a prevalence of</w:t>
      </w:r>
      <w:r w:rsidR="0006750A">
        <w:rPr>
          <w:rFonts w:ascii="Arial" w:hAnsi="Arial" w:cs="Arial"/>
          <w:noProof/>
          <w:sz w:val="24"/>
          <w:szCs w:val="24"/>
          <w:lang w:val="en-US" w:eastAsia="es-CO"/>
        </w:rPr>
        <w:t xml:space="preserve"> primary school education </w:t>
      </w:r>
      <w:r w:rsidR="0006750A" w:rsidRPr="0006750A">
        <w:rPr>
          <w:rFonts w:ascii="Arial" w:hAnsi="Arial" w:cs="Arial"/>
          <w:noProof/>
          <w:sz w:val="24"/>
          <w:szCs w:val="24"/>
          <w:lang w:val="en-US" w:eastAsia="es-CO"/>
        </w:rPr>
        <w:t>(75%);</w:t>
      </w:r>
      <w:r w:rsidR="0006750A">
        <w:rPr>
          <w:rFonts w:ascii="Arial" w:hAnsi="Arial" w:cs="Arial"/>
          <w:noProof/>
          <w:sz w:val="24"/>
          <w:szCs w:val="24"/>
          <w:lang w:val="en-US" w:eastAsia="es-CO"/>
        </w:rPr>
        <w:t xml:space="preserve"> in addition to this, there are people </w:t>
      </w:r>
      <w:r w:rsidR="00C713B2">
        <w:rPr>
          <w:rFonts w:ascii="Arial" w:hAnsi="Arial" w:cs="Arial"/>
          <w:noProof/>
          <w:sz w:val="24"/>
          <w:szCs w:val="24"/>
          <w:lang w:val="en-US" w:eastAsia="es-CO"/>
        </w:rPr>
        <w:t>who expressed not having any academic ba</w:t>
      </w:r>
      <w:r w:rsidR="00EC42BE">
        <w:rPr>
          <w:rFonts w:ascii="Arial" w:hAnsi="Arial" w:cs="Arial"/>
          <w:noProof/>
          <w:sz w:val="24"/>
          <w:szCs w:val="24"/>
          <w:lang w:val="en-US" w:eastAsia="es-CO"/>
        </w:rPr>
        <w:t>ckground, nevertheless</w:t>
      </w:r>
      <w:r w:rsidR="00293F3B">
        <w:rPr>
          <w:rFonts w:ascii="Arial" w:hAnsi="Arial" w:cs="Arial"/>
          <w:noProof/>
          <w:sz w:val="24"/>
          <w:szCs w:val="24"/>
          <w:lang w:val="en-US" w:eastAsia="es-CO"/>
        </w:rPr>
        <w:t>,</w:t>
      </w:r>
      <w:r w:rsidR="00EC42BE">
        <w:rPr>
          <w:rFonts w:ascii="Arial" w:hAnsi="Arial" w:cs="Arial"/>
          <w:noProof/>
          <w:sz w:val="24"/>
          <w:szCs w:val="24"/>
          <w:lang w:val="en-US" w:eastAsia="es-CO"/>
        </w:rPr>
        <w:t xml:space="preserve"> they were able to read and write </w:t>
      </w:r>
      <w:r w:rsidR="00EC42BE" w:rsidRPr="00EC42BE">
        <w:rPr>
          <w:rFonts w:ascii="Arial" w:hAnsi="Arial" w:cs="Arial"/>
          <w:noProof/>
          <w:sz w:val="24"/>
          <w:szCs w:val="24"/>
          <w:lang w:val="en-US" w:eastAsia="es-CO"/>
        </w:rPr>
        <w:t>(11,2%).</w:t>
      </w:r>
    </w:p>
    <w:p w:rsidR="00EC42BE" w:rsidRPr="00170FC2" w:rsidRDefault="00EC42BE" w:rsidP="00FF0340">
      <w:pPr>
        <w:jc w:val="both"/>
        <w:rPr>
          <w:rFonts w:ascii="Arial" w:hAnsi="Arial" w:cs="Arial"/>
          <w:noProof/>
          <w:sz w:val="24"/>
          <w:szCs w:val="24"/>
          <w:lang w:val="en-US" w:eastAsia="es-CO"/>
        </w:rPr>
      </w:pPr>
      <w:r>
        <w:rPr>
          <w:rFonts w:ascii="Arial" w:hAnsi="Arial" w:cs="Arial"/>
          <w:noProof/>
          <w:sz w:val="24"/>
          <w:szCs w:val="24"/>
          <w:lang w:val="en-US" w:eastAsia="es-CO"/>
        </w:rPr>
        <w:t>Concerning the clinical characterist</w:t>
      </w:r>
      <w:r w:rsidR="007D2E20">
        <w:rPr>
          <w:rFonts w:ascii="Arial" w:hAnsi="Arial" w:cs="Arial"/>
          <w:noProof/>
          <w:sz w:val="24"/>
          <w:szCs w:val="24"/>
          <w:lang w:val="en-US" w:eastAsia="es-CO"/>
        </w:rPr>
        <w:t>i</w:t>
      </w:r>
      <w:r>
        <w:rPr>
          <w:rFonts w:ascii="Arial" w:hAnsi="Arial" w:cs="Arial"/>
          <w:noProof/>
          <w:sz w:val="24"/>
          <w:szCs w:val="24"/>
          <w:lang w:val="en-US" w:eastAsia="es-CO"/>
        </w:rPr>
        <w:t xml:space="preserve">cs of the participants, </w:t>
      </w:r>
      <w:r w:rsidR="0002615E">
        <w:rPr>
          <w:rFonts w:ascii="Arial" w:hAnsi="Arial" w:cs="Arial"/>
          <w:noProof/>
          <w:sz w:val="24"/>
          <w:szCs w:val="24"/>
          <w:lang w:val="en-US" w:eastAsia="es-CO"/>
        </w:rPr>
        <w:t>67,2% presented</w:t>
      </w:r>
      <w:r w:rsidR="00CB7909">
        <w:rPr>
          <w:rFonts w:ascii="Arial" w:hAnsi="Arial" w:cs="Arial"/>
          <w:noProof/>
          <w:sz w:val="24"/>
          <w:szCs w:val="24"/>
          <w:lang w:val="en-US" w:eastAsia="es-CO"/>
        </w:rPr>
        <w:t xml:space="preserve"> a</w:t>
      </w:r>
      <w:r w:rsidR="00CB7909" w:rsidRPr="00CB7909">
        <w:rPr>
          <w:rFonts w:ascii="Arial" w:hAnsi="Arial" w:cs="Arial"/>
          <w:noProof/>
          <w:sz w:val="24"/>
          <w:szCs w:val="24"/>
          <w:lang w:val="en-US" w:eastAsia="es-CO"/>
        </w:rPr>
        <w:t xml:space="preserve"> </w:t>
      </w:r>
      <w:r w:rsidR="00CB7909">
        <w:rPr>
          <w:rFonts w:ascii="Arial" w:hAnsi="Arial" w:cs="Arial"/>
          <w:noProof/>
          <w:sz w:val="24"/>
          <w:szCs w:val="24"/>
          <w:lang w:val="en-US" w:eastAsia="es-CO"/>
        </w:rPr>
        <w:t>diagnostic of an unspecified</w:t>
      </w:r>
      <w:r w:rsidR="0002615E">
        <w:rPr>
          <w:rFonts w:ascii="Arial" w:hAnsi="Arial" w:cs="Arial"/>
          <w:noProof/>
          <w:sz w:val="24"/>
          <w:szCs w:val="24"/>
          <w:lang w:val="en-US" w:eastAsia="es-CO"/>
        </w:rPr>
        <w:t xml:space="preserve"> </w:t>
      </w:r>
      <w:r w:rsidR="00CB7909">
        <w:rPr>
          <w:rFonts w:ascii="Arial" w:hAnsi="Arial" w:cs="Arial"/>
          <w:noProof/>
          <w:sz w:val="24"/>
          <w:szCs w:val="24"/>
          <w:lang w:val="en-US" w:eastAsia="es-CO"/>
        </w:rPr>
        <w:t xml:space="preserve">COPD and the remaining </w:t>
      </w:r>
      <w:r w:rsidR="00CB7909" w:rsidRPr="00CB7909">
        <w:rPr>
          <w:rFonts w:ascii="Arial" w:hAnsi="Arial" w:cs="Arial"/>
          <w:noProof/>
          <w:sz w:val="24"/>
          <w:szCs w:val="24"/>
          <w:lang w:val="en-US" w:eastAsia="es-CO"/>
        </w:rPr>
        <w:t>32.8%</w:t>
      </w:r>
      <w:r w:rsidR="00CB7909">
        <w:rPr>
          <w:rFonts w:ascii="Arial" w:hAnsi="Arial" w:cs="Arial"/>
          <w:noProof/>
          <w:sz w:val="24"/>
          <w:szCs w:val="24"/>
          <w:lang w:val="en-US" w:eastAsia="es-CO"/>
        </w:rPr>
        <w:t xml:space="preserve"> presented EPOC with acute exacerbation or infection. The tobac</w:t>
      </w:r>
      <w:r w:rsidR="007D2E20">
        <w:rPr>
          <w:rFonts w:ascii="Arial" w:hAnsi="Arial" w:cs="Arial"/>
          <w:noProof/>
          <w:sz w:val="24"/>
          <w:szCs w:val="24"/>
          <w:lang w:val="en-US" w:eastAsia="es-CO"/>
        </w:rPr>
        <w:t>c</w:t>
      </w:r>
      <w:r w:rsidR="00CB7909">
        <w:rPr>
          <w:rFonts w:ascii="Arial" w:hAnsi="Arial" w:cs="Arial"/>
          <w:noProof/>
          <w:sz w:val="24"/>
          <w:szCs w:val="24"/>
          <w:lang w:val="en-US" w:eastAsia="es-CO"/>
        </w:rPr>
        <w:t>o use is the most prevailing exposure factor in both</w:t>
      </w:r>
      <w:r w:rsidR="005A6F45">
        <w:rPr>
          <w:rFonts w:ascii="Arial" w:hAnsi="Arial" w:cs="Arial"/>
          <w:noProof/>
          <w:sz w:val="24"/>
          <w:szCs w:val="24"/>
          <w:lang w:val="en-US" w:eastAsia="es-CO"/>
        </w:rPr>
        <w:t>,</w:t>
      </w:r>
      <w:r w:rsidR="00CB7909">
        <w:rPr>
          <w:rFonts w:ascii="Arial" w:hAnsi="Arial" w:cs="Arial"/>
          <w:noProof/>
          <w:sz w:val="24"/>
          <w:szCs w:val="24"/>
          <w:lang w:val="en-US" w:eastAsia="es-CO"/>
        </w:rPr>
        <w:t xml:space="preserve"> </w:t>
      </w:r>
      <w:r w:rsidR="005A6F45">
        <w:rPr>
          <w:rFonts w:ascii="Arial" w:hAnsi="Arial" w:cs="Arial"/>
          <w:noProof/>
          <w:sz w:val="24"/>
          <w:szCs w:val="24"/>
          <w:lang w:val="en-US" w:eastAsia="es-CO"/>
        </w:rPr>
        <w:t>men and women</w:t>
      </w:r>
      <w:r w:rsidR="00255CC1">
        <w:rPr>
          <w:rFonts w:ascii="Arial" w:hAnsi="Arial" w:cs="Arial"/>
          <w:noProof/>
          <w:sz w:val="24"/>
          <w:szCs w:val="24"/>
          <w:lang w:val="en-US" w:eastAsia="es-CO"/>
        </w:rPr>
        <w:t xml:space="preserve"> reporting a </w:t>
      </w:r>
      <w:r w:rsidR="00255CC1" w:rsidRPr="00255CC1">
        <w:rPr>
          <w:rFonts w:ascii="Arial" w:hAnsi="Arial" w:cs="Arial"/>
          <w:noProof/>
          <w:sz w:val="24"/>
          <w:szCs w:val="24"/>
          <w:lang w:val="en-US" w:eastAsia="es-CO"/>
        </w:rPr>
        <w:t>35,2%</w:t>
      </w:r>
      <w:r w:rsidR="00255CC1">
        <w:rPr>
          <w:rFonts w:ascii="Arial" w:hAnsi="Arial" w:cs="Arial"/>
          <w:noProof/>
          <w:sz w:val="24"/>
          <w:szCs w:val="24"/>
          <w:lang w:val="en-US" w:eastAsia="es-CO"/>
        </w:rPr>
        <w:t xml:space="preserve"> of the sample. </w:t>
      </w:r>
      <w:r w:rsidR="00E96FF0">
        <w:rPr>
          <w:rFonts w:ascii="Arial" w:hAnsi="Arial" w:cs="Arial"/>
          <w:noProof/>
          <w:sz w:val="24"/>
          <w:szCs w:val="24"/>
          <w:lang w:val="en-US" w:eastAsia="es-CO"/>
        </w:rPr>
        <w:t>Similarly</w:t>
      </w:r>
      <w:r w:rsidR="00F61E0F">
        <w:rPr>
          <w:rFonts w:ascii="Arial" w:hAnsi="Arial" w:cs="Arial"/>
          <w:noProof/>
          <w:sz w:val="24"/>
          <w:szCs w:val="24"/>
          <w:lang w:val="en-US" w:eastAsia="es-CO"/>
        </w:rPr>
        <w:t xml:space="preserve">, this factor combined with </w:t>
      </w:r>
      <w:r w:rsidR="00802F63">
        <w:rPr>
          <w:rFonts w:ascii="Arial" w:hAnsi="Arial" w:cs="Arial"/>
          <w:noProof/>
          <w:sz w:val="24"/>
          <w:szCs w:val="24"/>
          <w:lang w:val="en-US" w:eastAsia="es-CO"/>
        </w:rPr>
        <w:t>biomass smoke exposure</w:t>
      </w:r>
      <w:r w:rsidR="002A0EAF">
        <w:rPr>
          <w:rFonts w:ascii="Arial" w:hAnsi="Arial" w:cs="Arial"/>
          <w:noProof/>
          <w:sz w:val="24"/>
          <w:szCs w:val="24"/>
          <w:lang w:val="en-US" w:eastAsia="es-CO"/>
        </w:rPr>
        <w:t xml:space="preserve"> was detected in a </w:t>
      </w:r>
      <w:r w:rsidR="002A0EAF" w:rsidRPr="002A0EAF">
        <w:rPr>
          <w:rFonts w:ascii="Arial" w:hAnsi="Arial" w:cs="Arial"/>
          <w:noProof/>
          <w:sz w:val="24"/>
          <w:szCs w:val="24"/>
          <w:lang w:val="en-US" w:eastAsia="es-CO"/>
        </w:rPr>
        <w:t>32,8%</w:t>
      </w:r>
      <w:r w:rsidR="002A0EAF">
        <w:rPr>
          <w:rFonts w:ascii="Arial" w:hAnsi="Arial" w:cs="Arial"/>
          <w:noProof/>
          <w:sz w:val="24"/>
          <w:szCs w:val="24"/>
          <w:lang w:val="en-US" w:eastAsia="es-CO"/>
        </w:rPr>
        <w:t xml:space="preserve"> of the population</w:t>
      </w:r>
      <w:r w:rsidR="00C20B34">
        <w:rPr>
          <w:rFonts w:ascii="Arial" w:hAnsi="Arial" w:cs="Arial"/>
          <w:noProof/>
          <w:sz w:val="24"/>
          <w:szCs w:val="24"/>
          <w:lang w:val="en-US" w:eastAsia="es-CO"/>
        </w:rPr>
        <w:t>, being more predominant in females.</w:t>
      </w:r>
      <w:r w:rsidR="00170FC2">
        <w:rPr>
          <w:rFonts w:ascii="Arial" w:hAnsi="Arial" w:cs="Arial"/>
          <w:noProof/>
          <w:sz w:val="24"/>
          <w:szCs w:val="24"/>
          <w:lang w:val="en-US" w:eastAsia="es-CO"/>
        </w:rPr>
        <w:t xml:space="preserve"> In a lower proportion, there were people who presented one or two factors combined as, the biomass smoke exposure </w:t>
      </w:r>
      <w:r w:rsidR="00170FC2" w:rsidRPr="00170FC2">
        <w:rPr>
          <w:rFonts w:ascii="Arial" w:hAnsi="Arial" w:cs="Arial"/>
          <w:noProof/>
          <w:sz w:val="24"/>
          <w:szCs w:val="24"/>
          <w:lang w:val="en-US" w:eastAsia="es-CO"/>
        </w:rPr>
        <w:t>17,6%,</w:t>
      </w:r>
      <w:r w:rsidR="00170FC2">
        <w:rPr>
          <w:rFonts w:ascii="Arial" w:hAnsi="Arial" w:cs="Arial"/>
          <w:noProof/>
          <w:sz w:val="24"/>
          <w:szCs w:val="24"/>
          <w:lang w:val="en-US" w:eastAsia="es-CO"/>
        </w:rPr>
        <w:t xml:space="preserve">  second-hand smoke 3,2%, tobacco use and occupational exposure </w:t>
      </w:r>
      <w:r w:rsidR="00170FC2" w:rsidRPr="00170FC2">
        <w:rPr>
          <w:rFonts w:ascii="Arial" w:hAnsi="Arial" w:cs="Arial"/>
          <w:noProof/>
          <w:sz w:val="24"/>
          <w:szCs w:val="24"/>
          <w:lang w:val="en-US" w:eastAsia="es-CO"/>
        </w:rPr>
        <w:t>2,4%,</w:t>
      </w:r>
      <w:r w:rsidR="00170FC2">
        <w:rPr>
          <w:rFonts w:ascii="Arial" w:hAnsi="Arial" w:cs="Arial"/>
          <w:noProof/>
          <w:sz w:val="24"/>
          <w:szCs w:val="24"/>
          <w:lang w:val="en-US" w:eastAsia="es-CO"/>
        </w:rPr>
        <w:t xml:space="preserve"> tobacco use and pulmonary tuberculosis </w:t>
      </w:r>
      <w:r w:rsidR="00170FC2" w:rsidRPr="00170FC2">
        <w:rPr>
          <w:rFonts w:ascii="Arial" w:hAnsi="Arial" w:cs="Arial"/>
          <w:noProof/>
          <w:sz w:val="24"/>
          <w:szCs w:val="24"/>
          <w:lang w:val="en-US" w:eastAsia="es-CO"/>
        </w:rPr>
        <w:t>1,6%.</w:t>
      </w:r>
    </w:p>
    <w:p w:rsidR="00170FC2" w:rsidRPr="00C964E8" w:rsidRDefault="00C964E8" w:rsidP="00FF0340">
      <w:pPr>
        <w:jc w:val="both"/>
        <w:rPr>
          <w:rFonts w:ascii="Arial" w:hAnsi="Arial" w:cs="Arial"/>
          <w:noProof/>
          <w:sz w:val="24"/>
          <w:szCs w:val="24"/>
          <w:lang w:val="en-US" w:eastAsia="es-CO"/>
        </w:rPr>
      </w:pPr>
      <w:r w:rsidRPr="00C964E8">
        <w:rPr>
          <w:rFonts w:ascii="Arial" w:hAnsi="Arial" w:cs="Arial"/>
          <w:noProof/>
          <w:sz w:val="24"/>
          <w:szCs w:val="24"/>
          <w:lang w:val="en-US" w:eastAsia="es-CO"/>
        </w:rPr>
        <w:t xml:space="preserve">From the sample population who participated in the survey, </w:t>
      </w:r>
      <w:r>
        <w:rPr>
          <w:rFonts w:ascii="Arial" w:hAnsi="Arial" w:cs="Arial"/>
          <w:noProof/>
          <w:sz w:val="24"/>
          <w:szCs w:val="24"/>
          <w:lang w:val="en-US" w:eastAsia="es-CO"/>
        </w:rPr>
        <w:t xml:space="preserve">26 out of </w:t>
      </w:r>
      <w:r w:rsidRPr="00C964E8">
        <w:rPr>
          <w:rFonts w:ascii="Arial" w:hAnsi="Arial" w:cs="Arial"/>
          <w:noProof/>
          <w:sz w:val="24"/>
          <w:szCs w:val="24"/>
          <w:lang w:val="en-US" w:eastAsia="es-CO"/>
        </w:rPr>
        <w:t xml:space="preserve">28 people </w:t>
      </w:r>
      <w:r>
        <w:rPr>
          <w:rFonts w:ascii="Arial" w:hAnsi="Arial" w:cs="Arial"/>
          <w:noProof/>
          <w:sz w:val="24"/>
          <w:szCs w:val="24"/>
          <w:lang w:val="en-US" w:eastAsia="es-CO"/>
        </w:rPr>
        <w:t xml:space="preserve">who </w:t>
      </w:r>
      <w:r w:rsidRPr="00C964E8">
        <w:rPr>
          <w:rFonts w:ascii="Arial" w:hAnsi="Arial" w:cs="Arial"/>
          <w:noProof/>
          <w:sz w:val="24"/>
          <w:szCs w:val="24"/>
          <w:lang w:val="en-US" w:eastAsia="es-CO"/>
        </w:rPr>
        <w:t xml:space="preserve">used </w:t>
      </w:r>
      <w:r>
        <w:rPr>
          <w:rFonts w:ascii="Arial" w:hAnsi="Arial" w:cs="Arial"/>
          <w:noProof/>
          <w:sz w:val="24"/>
          <w:szCs w:val="24"/>
          <w:lang w:val="en-US" w:eastAsia="es-CO"/>
        </w:rPr>
        <w:t>d</w:t>
      </w:r>
      <w:r w:rsidRPr="00C964E8">
        <w:rPr>
          <w:rFonts w:ascii="Arial" w:hAnsi="Arial" w:cs="Arial"/>
          <w:noProof/>
          <w:sz w:val="24"/>
          <w:szCs w:val="24"/>
          <w:lang w:val="en-US" w:eastAsia="es-CO"/>
        </w:rPr>
        <w:t>omiciliary oxygen</w:t>
      </w:r>
      <w:r>
        <w:rPr>
          <w:rFonts w:ascii="Arial" w:hAnsi="Arial" w:cs="Arial"/>
          <w:noProof/>
          <w:sz w:val="24"/>
          <w:szCs w:val="24"/>
          <w:lang w:val="en-US" w:eastAsia="es-CO"/>
        </w:rPr>
        <w:t>, were oxygen requiring and 3 of them were ox</w:t>
      </w:r>
      <w:r w:rsidR="002B3F44">
        <w:rPr>
          <w:rFonts w:ascii="Arial" w:hAnsi="Arial" w:cs="Arial"/>
          <w:noProof/>
          <w:sz w:val="24"/>
          <w:szCs w:val="24"/>
          <w:lang w:val="en-US" w:eastAsia="es-CO"/>
        </w:rPr>
        <w:t>y</w:t>
      </w:r>
      <w:r>
        <w:rPr>
          <w:rFonts w:ascii="Arial" w:hAnsi="Arial" w:cs="Arial"/>
          <w:noProof/>
          <w:sz w:val="24"/>
          <w:szCs w:val="24"/>
          <w:lang w:val="en-US" w:eastAsia="es-CO"/>
        </w:rPr>
        <w:t xml:space="preserve">gen dependent. The lowest time data for oxygen use was 2 hours and the highest of 24 hours, with an average of </w:t>
      </w:r>
      <w:r w:rsidRPr="00C964E8">
        <w:rPr>
          <w:rFonts w:ascii="Arial" w:hAnsi="Arial" w:cs="Arial"/>
          <w:noProof/>
          <w:sz w:val="24"/>
          <w:szCs w:val="24"/>
          <w:lang w:val="en-US" w:eastAsia="es-CO"/>
        </w:rPr>
        <w:t>9.9</w:t>
      </w:r>
      <w:r>
        <w:rPr>
          <w:rFonts w:ascii="Arial" w:hAnsi="Arial" w:cs="Arial"/>
          <w:noProof/>
          <w:sz w:val="24"/>
          <w:szCs w:val="24"/>
          <w:lang w:val="en-US" w:eastAsia="es-CO"/>
        </w:rPr>
        <w:t xml:space="preserve"> hours per day.</w:t>
      </w:r>
    </w:p>
    <w:p w:rsidR="00501C75" w:rsidRDefault="00501C75" w:rsidP="00FF0340">
      <w:pPr>
        <w:jc w:val="both"/>
        <w:rPr>
          <w:rFonts w:ascii="Arial" w:hAnsi="Arial" w:cs="Arial"/>
          <w:b/>
          <w:noProof/>
          <w:sz w:val="24"/>
          <w:szCs w:val="24"/>
          <w:lang w:val="en-US" w:eastAsia="es-CO"/>
        </w:rPr>
      </w:pPr>
    </w:p>
    <w:p w:rsidR="00FF0340" w:rsidRPr="00433F5D" w:rsidRDefault="0040168A" w:rsidP="00FF0340">
      <w:pPr>
        <w:jc w:val="both"/>
        <w:rPr>
          <w:rFonts w:ascii="Arial" w:hAnsi="Arial" w:cs="Arial"/>
          <w:b/>
          <w:noProof/>
          <w:sz w:val="24"/>
          <w:szCs w:val="24"/>
          <w:lang w:val="en-US" w:eastAsia="es-CO"/>
        </w:rPr>
      </w:pPr>
      <w:r>
        <w:rPr>
          <w:rFonts w:ascii="Arial" w:hAnsi="Arial" w:cs="Arial"/>
          <w:b/>
          <w:noProof/>
          <w:sz w:val="24"/>
          <w:szCs w:val="24"/>
          <w:lang w:val="en-US" w:eastAsia="es-CO"/>
        </w:rPr>
        <w:t xml:space="preserve">Health Promotion </w:t>
      </w:r>
      <w:r w:rsidR="0079135F" w:rsidRPr="00433F5D">
        <w:rPr>
          <w:rFonts w:ascii="Arial" w:hAnsi="Arial" w:cs="Arial"/>
          <w:b/>
          <w:noProof/>
          <w:sz w:val="24"/>
          <w:szCs w:val="24"/>
          <w:lang w:val="en-US" w:eastAsia="es-CO"/>
        </w:rPr>
        <w:t>Behaviors</w:t>
      </w:r>
    </w:p>
    <w:p w:rsidR="00C67086" w:rsidRDefault="006942A4" w:rsidP="00FF0340">
      <w:pPr>
        <w:jc w:val="both"/>
        <w:rPr>
          <w:rFonts w:ascii="Arial" w:hAnsi="Arial" w:cs="Arial"/>
          <w:sz w:val="24"/>
          <w:szCs w:val="24"/>
          <w:lang w:val="en-US"/>
        </w:rPr>
      </w:pPr>
      <w:r>
        <w:rPr>
          <w:rFonts w:ascii="Arial" w:hAnsi="Arial" w:cs="Arial"/>
          <w:sz w:val="24"/>
          <w:szCs w:val="24"/>
          <w:lang w:val="en-US"/>
        </w:rPr>
        <w:t>T</w:t>
      </w:r>
      <w:r w:rsidR="00EC7449" w:rsidRPr="00D22EE1">
        <w:rPr>
          <w:rFonts w:ascii="Arial" w:hAnsi="Arial" w:cs="Arial"/>
          <w:sz w:val="24"/>
          <w:szCs w:val="24"/>
          <w:lang w:val="en-US"/>
        </w:rPr>
        <w:t xml:space="preserve">he Kolmogorov-Smirnov test </w:t>
      </w:r>
      <w:r w:rsidR="00FB3D02">
        <w:rPr>
          <w:rFonts w:ascii="Arial" w:hAnsi="Arial" w:cs="Arial"/>
          <w:sz w:val="24"/>
          <w:szCs w:val="24"/>
          <w:lang w:val="en-US"/>
        </w:rPr>
        <w:t>applied</w:t>
      </w:r>
      <w:r w:rsidR="007B7F83">
        <w:rPr>
          <w:rFonts w:ascii="Arial" w:hAnsi="Arial" w:cs="Arial"/>
          <w:sz w:val="24"/>
          <w:szCs w:val="24"/>
          <w:lang w:val="en-US"/>
        </w:rPr>
        <w:t xml:space="preserve"> to the results obtained on the </w:t>
      </w:r>
      <w:r w:rsidR="007B7F83" w:rsidRPr="00D22EE1">
        <w:rPr>
          <w:rFonts w:ascii="Arial" w:hAnsi="Arial" w:cs="Arial"/>
          <w:sz w:val="24"/>
          <w:szCs w:val="24"/>
          <w:lang w:val="en-US"/>
        </w:rPr>
        <w:t>scale HPLP</w:t>
      </w:r>
      <w:r w:rsidR="00117AD2">
        <w:rPr>
          <w:rFonts w:ascii="Arial" w:hAnsi="Arial" w:cs="Arial"/>
          <w:sz w:val="24"/>
          <w:szCs w:val="24"/>
          <w:lang w:val="en-US"/>
        </w:rPr>
        <w:t xml:space="preserve"> II, </w:t>
      </w:r>
      <w:r w:rsidR="00FB3D02">
        <w:rPr>
          <w:rFonts w:ascii="Arial" w:hAnsi="Arial" w:cs="Arial"/>
          <w:sz w:val="24"/>
          <w:szCs w:val="24"/>
          <w:lang w:val="en-US"/>
        </w:rPr>
        <w:t xml:space="preserve">show homogeneous data </w:t>
      </w:r>
      <w:r w:rsidR="00117AD2">
        <w:rPr>
          <w:rFonts w:ascii="Arial" w:hAnsi="Arial" w:cs="Arial"/>
          <w:sz w:val="24"/>
          <w:szCs w:val="24"/>
          <w:lang w:val="en-US"/>
        </w:rPr>
        <w:t>with a normal distribution. The ana</w:t>
      </w:r>
      <w:r w:rsidR="00F10610">
        <w:rPr>
          <w:rFonts w:ascii="Arial" w:hAnsi="Arial" w:cs="Arial"/>
          <w:sz w:val="24"/>
          <w:szCs w:val="24"/>
          <w:lang w:val="en-US"/>
        </w:rPr>
        <w:t>lysis of reliability reports a C</w:t>
      </w:r>
      <w:r w:rsidR="00117AD2">
        <w:rPr>
          <w:rFonts w:ascii="Arial" w:hAnsi="Arial" w:cs="Arial"/>
          <w:sz w:val="24"/>
          <w:szCs w:val="24"/>
          <w:lang w:val="en-US"/>
        </w:rPr>
        <w:t xml:space="preserve">ronbach’s alpha of </w:t>
      </w:r>
      <w:r w:rsidR="00117AD2" w:rsidRPr="00117AD2">
        <w:rPr>
          <w:rFonts w:ascii="Arial" w:hAnsi="Arial" w:cs="Arial"/>
          <w:sz w:val="24"/>
          <w:szCs w:val="24"/>
          <w:lang w:val="en-US"/>
        </w:rPr>
        <w:t>0,918</w:t>
      </w:r>
      <w:r w:rsidR="00117AD2">
        <w:rPr>
          <w:rFonts w:ascii="Arial" w:hAnsi="Arial" w:cs="Arial"/>
          <w:sz w:val="24"/>
          <w:szCs w:val="24"/>
          <w:lang w:val="en-US"/>
        </w:rPr>
        <w:t>.</w:t>
      </w:r>
    </w:p>
    <w:p w:rsidR="00C67086" w:rsidRPr="00433F5D" w:rsidRDefault="00117AD2" w:rsidP="00FF0340">
      <w:pPr>
        <w:jc w:val="both"/>
        <w:rPr>
          <w:rFonts w:ascii="Arial" w:hAnsi="Arial" w:cs="Arial"/>
          <w:sz w:val="24"/>
          <w:szCs w:val="24"/>
          <w:lang w:val="en-US"/>
        </w:rPr>
      </w:pPr>
      <w:r>
        <w:rPr>
          <w:rFonts w:ascii="Arial" w:hAnsi="Arial" w:cs="Arial"/>
          <w:sz w:val="24"/>
          <w:szCs w:val="24"/>
          <w:lang w:val="en-US"/>
        </w:rPr>
        <w:t xml:space="preserve">The results obtained in the </w:t>
      </w:r>
      <w:r w:rsidRPr="00D22EE1">
        <w:rPr>
          <w:rFonts w:ascii="Arial" w:hAnsi="Arial" w:cs="Arial"/>
          <w:sz w:val="24"/>
          <w:szCs w:val="24"/>
          <w:lang w:val="en-US"/>
        </w:rPr>
        <w:t>HPLP</w:t>
      </w:r>
      <w:r w:rsidR="00F10610">
        <w:rPr>
          <w:rFonts w:ascii="Arial" w:hAnsi="Arial" w:cs="Arial"/>
          <w:sz w:val="24"/>
          <w:szCs w:val="24"/>
          <w:lang w:val="en-US"/>
        </w:rPr>
        <w:t xml:space="preserve">II </w:t>
      </w:r>
      <w:r>
        <w:rPr>
          <w:rFonts w:ascii="Arial" w:hAnsi="Arial" w:cs="Arial"/>
          <w:sz w:val="24"/>
          <w:szCs w:val="24"/>
          <w:lang w:val="en-US"/>
        </w:rPr>
        <w:t>showed a minimum global score of 82 points and a maximum score of 178 points, with an average of 127,9 points for men and 130,4 for women without meaningful differences by genre</w:t>
      </w:r>
      <w:r w:rsidR="00433F5D">
        <w:rPr>
          <w:rFonts w:ascii="Arial" w:hAnsi="Arial" w:cs="Arial"/>
          <w:sz w:val="24"/>
          <w:szCs w:val="24"/>
          <w:lang w:val="en-US"/>
        </w:rPr>
        <w:t xml:space="preserve"> to be shown </w:t>
      </w:r>
      <w:r w:rsidRPr="00433F5D">
        <w:rPr>
          <w:rFonts w:ascii="Arial" w:hAnsi="Arial" w:cs="Arial"/>
          <w:sz w:val="24"/>
          <w:szCs w:val="24"/>
          <w:lang w:val="en-US"/>
        </w:rPr>
        <w:t>(</w:t>
      </w:r>
      <w:r w:rsidR="009C15CD" w:rsidRPr="00433F5D">
        <w:rPr>
          <w:rFonts w:ascii="Arial" w:hAnsi="Arial" w:cs="Arial"/>
          <w:sz w:val="24"/>
          <w:szCs w:val="24"/>
          <w:lang w:val="en-US"/>
        </w:rPr>
        <w:t>Table 1).</w:t>
      </w:r>
    </w:p>
    <w:p w:rsidR="00433F5D" w:rsidRPr="00433F5D" w:rsidRDefault="00433F5D" w:rsidP="00FF0340">
      <w:pPr>
        <w:jc w:val="both"/>
        <w:rPr>
          <w:rFonts w:ascii="Arial" w:hAnsi="Arial" w:cs="Arial"/>
          <w:sz w:val="24"/>
          <w:szCs w:val="24"/>
          <w:lang w:val="en-US"/>
        </w:rPr>
      </w:pPr>
      <w:r w:rsidRPr="00433F5D">
        <w:rPr>
          <w:rFonts w:ascii="Arial" w:hAnsi="Arial" w:cs="Arial"/>
          <w:sz w:val="24"/>
          <w:szCs w:val="24"/>
          <w:lang w:val="en-US"/>
        </w:rPr>
        <w:t>When analyzing the data obtained in each of the scale dimensions</w:t>
      </w:r>
      <w:r w:rsidR="00F10610">
        <w:rPr>
          <w:rFonts w:ascii="Arial" w:hAnsi="Arial" w:cs="Arial"/>
          <w:sz w:val="24"/>
          <w:szCs w:val="24"/>
          <w:lang w:val="en-US"/>
        </w:rPr>
        <w:t>, there is evidence of a high</w:t>
      </w:r>
      <w:r w:rsidRPr="00433F5D">
        <w:rPr>
          <w:rFonts w:ascii="Arial" w:hAnsi="Arial" w:cs="Arial"/>
          <w:sz w:val="24"/>
          <w:szCs w:val="24"/>
          <w:lang w:val="en-US"/>
        </w:rPr>
        <w:t xml:space="preserve"> score in the </w:t>
      </w:r>
      <w:r>
        <w:rPr>
          <w:rFonts w:ascii="Arial" w:hAnsi="Arial" w:cs="Arial"/>
          <w:sz w:val="24"/>
          <w:szCs w:val="24"/>
          <w:lang w:val="en-US"/>
        </w:rPr>
        <w:t>dimension</w:t>
      </w:r>
      <w:r w:rsidRPr="00433F5D">
        <w:rPr>
          <w:rFonts w:ascii="Arial" w:hAnsi="Arial" w:cs="Arial"/>
          <w:sz w:val="24"/>
          <w:szCs w:val="24"/>
          <w:lang w:val="en-US"/>
        </w:rPr>
        <w:t xml:space="preserve"> related </w:t>
      </w:r>
      <w:r w:rsidR="00F10610">
        <w:rPr>
          <w:rFonts w:ascii="Arial" w:hAnsi="Arial" w:cs="Arial"/>
          <w:sz w:val="24"/>
          <w:szCs w:val="24"/>
          <w:lang w:val="en-US"/>
        </w:rPr>
        <w:t xml:space="preserve">to </w:t>
      </w:r>
      <w:r>
        <w:rPr>
          <w:rFonts w:ascii="Arial" w:hAnsi="Arial" w:cs="Arial"/>
          <w:sz w:val="24"/>
          <w:szCs w:val="24"/>
          <w:lang w:val="en-US"/>
        </w:rPr>
        <w:t xml:space="preserve">the spiritual growth, and the lowest score was observed in the </w:t>
      </w:r>
      <w:r w:rsidR="00E331FC">
        <w:rPr>
          <w:rFonts w:ascii="Arial" w:hAnsi="Arial" w:cs="Arial"/>
          <w:sz w:val="24"/>
          <w:szCs w:val="24"/>
          <w:lang w:val="en-US"/>
        </w:rPr>
        <w:t>dimensions</w:t>
      </w:r>
      <w:r>
        <w:rPr>
          <w:rFonts w:ascii="Arial" w:hAnsi="Arial" w:cs="Arial"/>
          <w:sz w:val="24"/>
          <w:szCs w:val="24"/>
          <w:lang w:val="en-US"/>
        </w:rPr>
        <w:t xml:space="preserve"> related to physical activity and nutrition </w:t>
      </w:r>
      <w:r w:rsidRPr="00433F5D">
        <w:rPr>
          <w:rFonts w:ascii="Arial" w:hAnsi="Arial" w:cs="Arial"/>
          <w:sz w:val="24"/>
          <w:szCs w:val="24"/>
          <w:lang w:val="en-US"/>
        </w:rPr>
        <w:t>(Table 2).</w:t>
      </w:r>
    </w:p>
    <w:p w:rsidR="000324C0" w:rsidRDefault="000324C0" w:rsidP="00E331FC">
      <w:pPr>
        <w:jc w:val="center"/>
        <w:rPr>
          <w:rFonts w:ascii="Arial" w:hAnsi="Arial" w:cs="Arial"/>
          <w:b/>
          <w:i/>
          <w:sz w:val="20"/>
          <w:szCs w:val="24"/>
          <w:lang w:val="en-US"/>
        </w:rPr>
      </w:pPr>
    </w:p>
    <w:p w:rsidR="00705E53" w:rsidRDefault="009C15CD" w:rsidP="00E331FC">
      <w:pPr>
        <w:jc w:val="center"/>
        <w:rPr>
          <w:rFonts w:ascii="Arial" w:hAnsi="Arial" w:cs="Arial"/>
          <w:i/>
          <w:sz w:val="20"/>
          <w:szCs w:val="24"/>
          <w:lang w:val="en-US"/>
        </w:rPr>
      </w:pPr>
      <w:r w:rsidRPr="00E331FC">
        <w:rPr>
          <w:rFonts w:ascii="Arial" w:hAnsi="Arial" w:cs="Arial"/>
          <w:b/>
          <w:i/>
          <w:sz w:val="20"/>
          <w:szCs w:val="24"/>
          <w:lang w:val="en-US"/>
        </w:rPr>
        <w:t>TABLE 1.</w:t>
      </w:r>
      <w:r w:rsidRPr="00E331FC">
        <w:rPr>
          <w:rFonts w:ascii="Arial" w:hAnsi="Arial" w:cs="Arial"/>
          <w:i/>
          <w:sz w:val="20"/>
          <w:szCs w:val="24"/>
          <w:lang w:val="en-US"/>
        </w:rPr>
        <w:t xml:space="preserve"> Global</w:t>
      </w:r>
      <w:r w:rsidR="00705E53" w:rsidRPr="00E331FC">
        <w:rPr>
          <w:rFonts w:ascii="Arial" w:hAnsi="Arial" w:cs="Arial"/>
          <w:i/>
          <w:sz w:val="20"/>
          <w:szCs w:val="24"/>
          <w:lang w:val="en-US"/>
        </w:rPr>
        <w:t xml:space="preserve"> Dimensional </w:t>
      </w:r>
      <w:r w:rsidRPr="00E331FC">
        <w:rPr>
          <w:rFonts w:ascii="Arial" w:hAnsi="Arial" w:cs="Arial"/>
          <w:i/>
          <w:sz w:val="20"/>
          <w:szCs w:val="24"/>
          <w:lang w:val="en-US"/>
        </w:rPr>
        <w:t>Average</w:t>
      </w:r>
      <w:r w:rsidR="00705E53" w:rsidRPr="00E331FC">
        <w:rPr>
          <w:rFonts w:ascii="Arial" w:hAnsi="Arial" w:cs="Arial"/>
          <w:i/>
          <w:sz w:val="20"/>
          <w:szCs w:val="24"/>
          <w:lang w:val="en-US"/>
        </w:rPr>
        <w:t xml:space="preserve"> obtained with the HPLP II scale differentiated by sex</w:t>
      </w:r>
      <w:r w:rsidR="0032571C">
        <w:rPr>
          <w:rFonts w:ascii="Arial" w:hAnsi="Arial" w:cs="Arial"/>
          <w:i/>
          <w:sz w:val="20"/>
          <w:szCs w:val="24"/>
          <w:lang w:val="en-US"/>
        </w:rPr>
        <w:t>.</w:t>
      </w:r>
    </w:p>
    <w:p w:rsidR="003708E2" w:rsidRPr="00E331FC" w:rsidRDefault="003708E2" w:rsidP="00E331FC">
      <w:pPr>
        <w:jc w:val="center"/>
        <w:rPr>
          <w:rFonts w:ascii="Arial" w:hAnsi="Arial" w:cs="Arial"/>
          <w:i/>
          <w:sz w:val="20"/>
          <w:szCs w:val="24"/>
          <w:lang w:val="en-US"/>
        </w:rPr>
      </w:pPr>
    </w:p>
    <w:tbl>
      <w:tblPr>
        <w:tblW w:w="6465" w:type="dxa"/>
        <w:jc w:val="center"/>
        <w:tblLayout w:type="fixed"/>
        <w:tblCellMar>
          <w:left w:w="0" w:type="dxa"/>
          <w:right w:w="0" w:type="dxa"/>
        </w:tblCellMar>
        <w:tblLook w:val="0000" w:firstRow="0" w:lastRow="0" w:firstColumn="0" w:lastColumn="0" w:noHBand="0" w:noVBand="0"/>
      </w:tblPr>
      <w:tblGrid>
        <w:gridCol w:w="3018"/>
        <w:gridCol w:w="1149"/>
        <w:gridCol w:w="1149"/>
        <w:gridCol w:w="1149"/>
      </w:tblGrid>
      <w:tr w:rsidR="00FF0340" w:rsidRPr="007826E7" w:rsidTr="00092E09">
        <w:trPr>
          <w:cantSplit/>
          <w:tblHeader/>
          <w:jc w:val="center"/>
        </w:trPr>
        <w:tc>
          <w:tcPr>
            <w:tcW w:w="3018" w:type="dxa"/>
            <w:vMerge w:val="restart"/>
            <w:tcBorders>
              <w:bottom w:val="single" w:sz="4" w:space="0" w:color="auto"/>
            </w:tcBorders>
            <w:shd w:val="clear" w:color="auto" w:fill="E2EFD9" w:themeFill="accent6" w:themeFillTint="33"/>
            <w:vAlign w:val="center"/>
          </w:tcPr>
          <w:p w:rsidR="00FF0340" w:rsidRDefault="00E331FC" w:rsidP="00092E09">
            <w:pPr>
              <w:autoSpaceDE w:val="0"/>
              <w:autoSpaceDN w:val="0"/>
              <w:adjustRightInd w:val="0"/>
              <w:spacing w:after="0" w:line="240" w:lineRule="auto"/>
              <w:ind w:right="60"/>
              <w:jc w:val="center"/>
              <w:rPr>
                <w:rFonts w:ascii="Arial" w:hAnsi="Arial" w:cs="Arial"/>
                <w:b/>
                <w:sz w:val="20"/>
                <w:szCs w:val="20"/>
                <w:lang w:eastAsia="es-CO"/>
              </w:rPr>
            </w:pPr>
            <w:r>
              <w:rPr>
                <w:rFonts w:ascii="Arial" w:hAnsi="Arial" w:cs="Arial"/>
                <w:b/>
                <w:sz w:val="20"/>
                <w:szCs w:val="20"/>
                <w:lang w:eastAsia="es-CO"/>
              </w:rPr>
              <w:t>Health Promotion Behaviors</w:t>
            </w:r>
          </w:p>
          <w:p w:rsidR="00FF0340" w:rsidRDefault="00FF0340" w:rsidP="00092E09">
            <w:pPr>
              <w:autoSpaceDE w:val="0"/>
              <w:autoSpaceDN w:val="0"/>
              <w:adjustRightInd w:val="0"/>
              <w:spacing w:after="0" w:line="240" w:lineRule="auto"/>
              <w:ind w:left="60" w:right="60"/>
              <w:jc w:val="center"/>
              <w:rPr>
                <w:rFonts w:ascii="Arial" w:hAnsi="Arial" w:cs="Arial"/>
                <w:b/>
                <w:sz w:val="20"/>
                <w:szCs w:val="20"/>
                <w:lang w:eastAsia="es-CO"/>
              </w:rPr>
            </w:pPr>
            <w:r>
              <w:rPr>
                <w:rFonts w:ascii="Arial" w:hAnsi="Arial" w:cs="Arial"/>
                <w:b/>
                <w:sz w:val="20"/>
                <w:szCs w:val="20"/>
                <w:lang w:eastAsia="es-CO"/>
              </w:rPr>
              <w:t>(Me</w:t>
            </w:r>
            <w:r w:rsidR="0032571C">
              <w:rPr>
                <w:rFonts w:ascii="Arial" w:hAnsi="Arial" w:cs="Arial"/>
                <w:b/>
                <w:sz w:val="20"/>
                <w:szCs w:val="20"/>
                <w:lang w:eastAsia="es-CO"/>
              </w:rPr>
              <w:t>an</w:t>
            </w:r>
            <w:r>
              <w:rPr>
                <w:rFonts w:ascii="Arial" w:hAnsi="Arial" w:cs="Arial"/>
                <w:b/>
                <w:sz w:val="20"/>
                <w:szCs w:val="20"/>
                <w:lang w:eastAsia="es-CO"/>
              </w:rPr>
              <w:t>)</w:t>
            </w:r>
          </w:p>
          <w:p w:rsidR="00FF0340" w:rsidRPr="007826E7" w:rsidRDefault="00FF0340" w:rsidP="00092E09">
            <w:pPr>
              <w:autoSpaceDE w:val="0"/>
              <w:autoSpaceDN w:val="0"/>
              <w:adjustRightInd w:val="0"/>
              <w:spacing w:after="0" w:line="240" w:lineRule="auto"/>
              <w:ind w:left="60" w:right="60"/>
              <w:jc w:val="center"/>
              <w:rPr>
                <w:rFonts w:ascii="Arial" w:hAnsi="Arial" w:cs="Arial"/>
                <w:b/>
                <w:sz w:val="20"/>
                <w:szCs w:val="20"/>
                <w:lang w:eastAsia="es-CO"/>
              </w:rPr>
            </w:pPr>
          </w:p>
        </w:tc>
        <w:tc>
          <w:tcPr>
            <w:tcW w:w="2298" w:type="dxa"/>
            <w:gridSpan w:val="2"/>
            <w:tcBorders>
              <w:bottom w:val="single" w:sz="4" w:space="0" w:color="auto"/>
            </w:tcBorders>
            <w:shd w:val="clear" w:color="auto" w:fill="E2EFD9" w:themeFill="accent6" w:themeFillTint="33"/>
          </w:tcPr>
          <w:p w:rsidR="00FF0340" w:rsidRPr="007826E7" w:rsidRDefault="0032571C" w:rsidP="00092E09">
            <w:pPr>
              <w:autoSpaceDE w:val="0"/>
              <w:autoSpaceDN w:val="0"/>
              <w:adjustRightInd w:val="0"/>
              <w:spacing w:line="320" w:lineRule="atLeast"/>
              <w:ind w:left="60" w:right="60"/>
              <w:jc w:val="center"/>
              <w:rPr>
                <w:rFonts w:ascii="Arial" w:hAnsi="Arial" w:cs="Arial"/>
                <w:b/>
                <w:color w:val="000000"/>
                <w:sz w:val="20"/>
                <w:szCs w:val="20"/>
                <w:lang w:eastAsia="es-CO"/>
              </w:rPr>
            </w:pPr>
            <w:r>
              <w:rPr>
                <w:rFonts w:ascii="Arial" w:hAnsi="Arial" w:cs="Arial"/>
                <w:b/>
                <w:color w:val="000000"/>
                <w:sz w:val="20"/>
                <w:szCs w:val="20"/>
                <w:lang w:eastAsia="es-CO"/>
              </w:rPr>
              <w:t>Genre</w:t>
            </w:r>
          </w:p>
        </w:tc>
        <w:tc>
          <w:tcPr>
            <w:tcW w:w="1149" w:type="dxa"/>
            <w:vMerge w:val="restart"/>
            <w:shd w:val="clear" w:color="auto" w:fill="E2EFD9" w:themeFill="accent6" w:themeFillTint="33"/>
          </w:tcPr>
          <w:p w:rsidR="00FF0340" w:rsidRPr="007826E7" w:rsidRDefault="0032571C" w:rsidP="00092E09">
            <w:pPr>
              <w:autoSpaceDE w:val="0"/>
              <w:autoSpaceDN w:val="0"/>
              <w:adjustRightInd w:val="0"/>
              <w:spacing w:line="320" w:lineRule="atLeast"/>
              <w:ind w:left="60" w:right="60"/>
              <w:jc w:val="center"/>
              <w:rPr>
                <w:rFonts w:ascii="Arial" w:hAnsi="Arial" w:cs="Arial"/>
                <w:b/>
                <w:color w:val="000000"/>
                <w:sz w:val="20"/>
                <w:szCs w:val="20"/>
                <w:lang w:eastAsia="es-CO"/>
              </w:rPr>
            </w:pPr>
            <w:r>
              <w:rPr>
                <w:rFonts w:ascii="Arial" w:hAnsi="Arial" w:cs="Arial"/>
                <w:b/>
                <w:color w:val="000000"/>
                <w:sz w:val="20"/>
                <w:szCs w:val="20"/>
                <w:lang w:eastAsia="es-CO"/>
              </w:rPr>
              <w:t>P Value</w:t>
            </w:r>
          </w:p>
        </w:tc>
      </w:tr>
      <w:tr w:rsidR="00FF0340" w:rsidRPr="007826E7" w:rsidTr="00092E09">
        <w:trPr>
          <w:cantSplit/>
          <w:trHeight w:val="496"/>
          <w:tblHeader/>
          <w:jc w:val="center"/>
        </w:trPr>
        <w:tc>
          <w:tcPr>
            <w:tcW w:w="3018" w:type="dxa"/>
            <w:vMerge/>
            <w:tcBorders>
              <w:bottom w:val="single" w:sz="4" w:space="0" w:color="auto"/>
            </w:tcBorders>
            <w:shd w:val="clear" w:color="auto" w:fill="E2EFD9" w:themeFill="accent6" w:themeFillTint="33"/>
          </w:tcPr>
          <w:p w:rsidR="00FF0340" w:rsidRPr="007826E7"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p>
        </w:tc>
        <w:tc>
          <w:tcPr>
            <w:tcW w:w="1149" w:type="dxa"/>
            <w:tcBorders>
              <w:top w:val="single" w:sz="4" w:space="0" w:color="auto"/>
              <w:bottom w:val="single" w:sz="4" w:space="0" w:color="auto"/>
            </w:tcBorders>
            <w:shd w:val="clear" w:color="auto" w:fill="E2EFD9" w:themeFill="accent6" w:themeFillTint="33"/>
          </w:tcPr>
          <w:p w:rsidR="00FF0340" w:rsidRDefault="0032571C"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r>
              <w:rPr>
                <w:rFonts w:ascii="Arial" w:hAnsi="Arial" w:cs="Arial"/>
                <w:b/>
                <w:color w:val="000000"/>
                <w:sz w:val="20"/>
                <w:szCs w:val="20"/>
                <w:lang w:eastAsia="es-CO"/>
              </w:rPr>
              <w:t>Male</w:t>
            </w:r>
          </w:p>
          <w:p w:rsidR="00FF0340" w:rsidRPr="007826E7" w:rsidRDefault="00FF0340"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r>
              <w:rPr>
                <w:rFonts w:ascii="Arial" w:hAnsi="Arial" w:cs="Arial"/>
                <w:b/>
                <w:color w:val="000000"/>
                <w:sz w:val="20"/>
                <w:szCs w:val="20"/>
                <w:lang w:eastAsia="es-CO"/>
              </w:rPr>
              <w:t>n=39</w:t>
            </w:r>
          </w:p>
          <w:p w:rsidR="00FF0340" w:rsidRPr="007826E7" w:rsidRDefault="00FF0340"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p>
        </w:tc>
        <w:tc>
          <w:tcPr>
            <w:tcW w:w="1149" w:type="dxa"/>
            <w:tcBorders>
              <w:top w:val="single" w:sz="4" w:space="0" w:color="auto"/>
              <w:bottom w:val="single" w:sz="4" w:space="0" w:color="auto"/>
            </w:tcBorders>
            <w:shd w:val="clear" w:color="auto" w:fill="E2EFD9" w:themeFill="accent6" w:themeFillTint="33"/>
          </w:tcPr>
          <w:p w:rsidR="00FF0340" w:rsidRDefault="0032571C"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r>
              <w:rPr>
                <w:rFonts w:ascii="Arial" w:hAnsi="Arial" w:cs="Arial"/>
                <w:b/>
                <w:color w:val="000000"/>
                <w:sz w:val="20"/>
                <w:szCs w:val="20"/>
                <w:lang w:eastAsia="es-CO"/>
              </w:rPr>
              <w:t>Female</w:t>
            </w:r>
            <w:r w:rsidR="00FF0340" w:rsidRPr="007826E7">
              <w:rPr>
                <w:rFonts w:ascii="Arial" w:hAnsi="Arial" w:cs="Arial"/>
                <w:b/>
                <w:color w:val="000000"/>
                <w:sz w:val="20"/>
                <w:szCs w:val="20"/>
                <w:lang w:eastAsia="es-CO"/>
              </w:rPr>
              <w:t xml:space="preserve"> </w:t>
            </w:r>
          </w:p>
          <w:p w:rsidR="00FF0340" w:rsidRDefault="00FF0340"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r>
              <w:rPr>
                <w:rFonts w:ascii="Arial" w:hAnsi="Arial" w:cs="Arial"/>
                <w:b/>
                <w:color w:val="000000"/>
                <w:sz w:val="20"/>
                <w:szCs w:val="20"/>
                <w:lang w:eastAsia="es-CO"/>
              </w:rPr>
              <w:t>n=86</w:t>
            </w:r>
          </w:p>
          <w:p w:rsidR="00FF0340" w:rsidRPr="007826E7" w:rsidRDefault="00FF0340"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p>
        </w:tc>
        <w:tc>
          <w:tcPr>
            <w:tcW w:w="1149" w:type="dxa"/>
            <w:vMerge/>
            <w:tcBorders>
              <w:bottom w:val="single" w:sz="4" w:space="0" w:color="auto"/>
            </w:tcBorders>
            <w:shd w:val="clear" w:color="auto" w:fill="E2EFD9" w:themeFill="accent6" w:themeFillTint="33"/>
          </w:tcPr>
          <w:p w:rsidR="00FF0340" w:rsidRPr="007826E7" w:rsidRDefault="00FF0340"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p>
        </w:tc>
      </w:tr>
      <w:tr w:rsidR="00FF0340" w:rsidRPr="007826E7" w:rsidTr="00092E09">
        <w:trPr>
          <w:cantSplit/>
          <w:tblHeader/>
          <w:jc w:val="center"/>
        </w:trPr>
        <w:tc>
          <w:tcPr>
            <w:tcW w:w="3018" w:type="dxa"/>
            <w:tcBorders>
              <w:top w:val="single" w:sz="4" w:space="0" w:color="auto"/>
            </w:tcBorders>
            <w:shd w:val="clear" w:color="auto" w:fill="FFFFFF"/>
          </w:tcPr>
          <w:p w:rsidR="00FF0340" w:rsidRPr="007826E7" w:rsidRDefault="0032571C" w:rsidP="0032571C">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 xml:space="preserve">Health </w:t>
            </w:r>
            <w:r w:rsidR="00FF0340" w:rsidRPr="007826E7">
              <w:rPr>
                <w:rFonts w:ascii="Arial" w:hAnsi="Arial" w:cs="Arial"/>
                <w:color w:val="000000"/>
                <w:sz w:val="20"/>
                <w:szCs w:val="20"/>
                <w:lang w:eastAsia="es-CO"/>
              </w:rPr>
              <w:t>Responsabili</w:t>
            </w:r>
            <w:r>
              <w:rPr>
                <w:rFonts w:ascii="Arial" w:hAnsi="Arial" w:cs="Arial"/>
                <w:color w:val="000000"/>
                <w:sz w:val="20"/>
                <w:szCs w:val="20"/>
                <w:lang w:eastAsia="es-CO"/>
              </w:rPr>
              <w:t>ty</w:t>
            </w:r>
          </w:p>
        </w:tc>
        <w:tc>
          <w:tcPr>
            <w:tcW w:w="1149" w:type="dxa"/>
            <w:tcBorders>
              <w:top w:val="single" w:sz="4" w:space="0" w:color="auto"/>
            </w:tcBorders>
            <w:shd w:val="clear" w:color="auto" w:fill="FFFFFF"/>
          </w:tcPr>
          <w:p w:rsidR="00FF0340" w:rsidRPr="007826E7"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22,18</w:t>
            </w:r>
          </w:p>
        </w:tc>
        <w:tc>
          <w:tcPr>
            <w:tcW w:w="1149" w:type="dxa"/>
            <w:tcBorders>
              <w:top w:val="single" w:sz="4" w:space="0" w:color="auto"/>
            </w:tcBorders>
            <w:shd w:val="clear" w:color="auto" w:fill="FFFFFF"/>
          </w:tcPr>
          <w:p w:rsidR="00FF0340" w:rsidRPr="007826E7"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23,19</w:t>
            </w:r>
          </w:p>
        </w:tc>
        <w:tc>
          <w:tcPr>
            <w:tcW w:w="1149" w:type="dxa"/>
            <w:tcBorders>
              <w:top w:val="single" w:sz="4" w:space="0" w:color="auto"/>
            </w:tcBorders>
            <w:shd w:val="clear" w:color="auto" w:fill="FFFFFF"/>
          </w:tcPr>
          <w:p w:rsidR="00FF0340"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0,275</w:t>
            </w:r>
          </w:p>
        </w:tc>
      </w:tr>
      <w:tr w:rsidR="00FF0340" w:rsidRPr="007826E7" w:rsidTr="00092E09">
        <w:trPr>
          <w:cantSplit/>
          <w:tblHeader/>
          <w:jc w:val="center"/>
        </w:trPr>
        <w:tc>
          <w:tcPr>
            <w:tcW w:w="3018" w:type="dxa"/>
            <w:shd w:val="clear" w:color="auto" w:fill="FFFFFF"/>
          </w:tcPr>
          <w:p w:rsidR="00FF0340" w:rsidRPr="007826E7" w:rsidRDefault="0032571C" w:rsidP="0032571C">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 xml:space="preserve">Physica </w:t>
            </w:r>
            <w:r w:rsidR="00FF0340" w:rsidRPr="007826E7">
              <w:rPr>
                <w:rFonts w:ascii="Arial" w:hAnsi="Arial" w:cs="Arial"/>
                <w:color w:val="000000"/>
                <w:sz w:val="20"/>
                <w:szCs w:val="20"/>
                <w:lang w:eastAsia="es-CO"/>
              </w:rPr>
              <w:t>Activi</w:t>
            </w:r>
            <w:r>
              <w:rPr>
                <w:rFonts w:ascii="Arial" w:hAnsi="Arial" w:cs="Arial"/>
                <w:color w:val="000000"/>
                <w:sz w:val="20"/>
                <w:szCs w:val="20"/>
                <w:lang w:eastAsia="es-CO"/>
              </w:rPr>
              <w:t>ty</w:t>
            </w:r>
          </w:p>
        </w:tc>
        <w:tc>
          <w:tcPr>
            <w:tcW w:w="1149" w:type="dxa"/>
            <w:shd w:val="clear" w:color="auto" w:fill="FFFFFF"/>
          </w:tcPr>
          <w:p w:rsidR="00FF0340" w:rsidRPr="007826E7"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14,38</w:t>
            </w:r>
          </w:p>
        </w:tc>
        <w:tc>
          <w:tcPr>
            <w:tcW w:w="1149" w:type="dxa"/>
            <w:shd w:val="clear" w:color="auto" w:fill="FFFFFF"/>
          </w:tcPr>
          <w:p w:rsidR="00FF0340" w:rsidRPr="007826E7"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13,17</w:t>
            </w:r>
          </w:p>
        </w:tc>
        <w:tc>
          <w:tcPr>
            <w:tcW w:w="1149" w:type="dxa"/>
            <w:shd w:val="clear" w:color="auto" w:fill="FFFFFF"/>
          </w:tcPr>
          <w:p w:rsidR="00FF0340"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0,096</w:t>
            </w:r>
          </w:p>
        </w:tc>
      </w:tr>
      <w:tr w:rsidR="00FF0340" w:rsidRPr="007826E7" w:rsidTr="00092E09">
        <w:trPr>
          <w:cantSplit/>
          <w:tblHeader/>
          <w:jc w:val="center"/>
        </w:trPr>
        <w:tc>
          <w:tcPr>
            <w:tcW w:w="3018" w:type="dxa"/>
            <w:shd w:val="clear" w:color="auto" w:fill="FFFFFF"/>
          </w:tcPr>
          <w:p w:rsidR="00FF0340" w:rsidRPr="007826E7" w:rsidRDefault="00FF0340" w:rsidP="0032571C">
            <w:pPr>
              <w:autoSpaceDE w:val="0"/>
              <w:autoSpaceDN w:val="0"/>
              <w:adjustRightInd w:val="0"/>
              <w:spacing w:line="320" w:lineRule="atLeast"/>
              <w:ind w:left="60" w:right="60"/>
              <w:jc w:val="center"/>
              <w:rPr>
                <w:rFonts w:ascii="Arial" w:hAnsi="Arial" w:cs="Arial"/>
                <w:color w:val="000000"/>
                <w:sz w:val="20"/>
                <w:szCs w:val="20"/>
                <w:lang w:eastAsia="es-CO"/>
              </w:rPr>
            </w:pPr>
            <w:r w:rsidRPr="007826E7">
              <w:rPr>
                <w:rFonts w:ascii="Arial" w:hAnsi="Arial" w:cs="Arial"/>
                <w:color w:val="000000"/>
                <w:sz w:val="20"/>
                <w:szCs w:val="20"/>
                <w:lang w:eastAsia="es-CO"/>
              </w:rPr>
              <w:t>Nutri</w:t>
            </w:r>
            <w:r w:rsidR="0032571C">
              <w:rPr>
                <w:rFonts w:ascii="Arial" w:hAnsi="Arial" w:cs="Arial"/>
                <w:color w:val="000000"/>
                <w:sz w:val="20"/>
                <w:szCs w:val="20"/>
                <w:lang w:eastAsia="es-CO"/>
              </w:rPr>
              <w:t>tio</w:t>
            </w:r>
            <w:r w:rsidRPr="007826E7">
              <w:rPr>
                <w:rFonts w:ascii="Arial" w:hAnsi="Arial" w:cs="Arial"/>
                <w:color w:val="000000"/>
                <w:sz w:val="20"/>
                <w:szCs w:val="20"/>
                <w:lang w:eastAsia="es-CO"/>
              </w:rPr>
              <w:t>n</w:t>
            </w:r>
          </w:p>
        </w:tc>
        <w:tc>
          <w:tcPr>
            <w:tcW w:w="1149" w:type="dxa"/>
            <w:shd w:val="clear" w:color="auto" w:fill="FFFFFF"/>
          </w:tcPr>
          <w:p w:rsidR="00FF0340" w:rsidRPr="007826E7"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20,15</w:t>
            </w:r>
          </w:p>
        </w:tc>
        <w:tc>
          <w:tcPr>
            <w:tcW w:w="1149" w:type="dxa"/>
            <w:shd w:val="clear" w:color="auto" w:fill="FFFFFF"/>
          </w:tcPr>
          <w:p w:rsidR="00FF0340" w:rsidRPr="007826E7"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20,26</w:t>
            </w:r>
          </w:p>
        </w:tc>
        <w:tc>
          <w:tcPr>
            <w:tcW w:w="1149" w:type="dxa"/>
            <w:shd w:val="clear" w:color="auto" w:fill="FFFFFF"/>
          </w:tcPr>
          <w:p w:rsidR="00FF0340"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0,841</w:t>
            </w:r>
          </w:p>
        </w:tc>
      </w:tr>
      <w:tr w:rsidR="00FF0340" w:rsidRPr="007826E7" w:rsidTr="00092E09">
        <w:trPr>
          <w:cantSplit/>
          <w:tblHeader/>
          <w:jc w:val="center"/>
        </w:trPr>
        <w:tc>
          <w:tcPr>
            <w:tcW w:w="3018" w:type="dxa"/>
            <w:shd w:val="clear" w:color="auto" w:fill="FFFFFF"/>
          </w:tcPr>
          <w:p w:rsidR="00FF0340" w:rsidRPr="007826E7" w:rsidRDefault="0032571C" w:rsidP="0032571C">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Spiritual Growth</w:t>
            </w:r>
          </w:p>
        </w:tc>
        <w:tc>
          <w:tcPr>
            <w:tcW w:w="1149" w:type="dxa"/>
            <w:shd w:val="clear" w:color="auto" w:fill="FFFFFF"/>
          </w:tcPr>
          <w:p w:rsidR="00FF0340" w:rsidRPr="007826E7"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26,03</w:t>
            </w:r>
          </w:p>
        </w:tc>
        <w:tc>
          <w:tcPr>
            <w:tcW w:w="1149" w:type="dxa"/>
            <w:shd w:val="clear" w:color="auto" w:fill="FFFFFF"/>
          </w:tcPr>
          <w:p w:rsidR="00FF0340" w:rsidRPr="007826E7"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28,09</w:t>
            </w:r>
          </w:p>
        </w:tc>
        <w:tc>
          <w:tcPr>
            <w:tcW w:w="1149" w:type="dxa"/>
            <w:shd w:val="clear" w:color="auto" w:fill="FFFFFF"/>
          </w:tcPr>
          <w:p w:rsidR="00FF0340"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0,062</w:t>
            </w:r>
          </w:p>
        </w:tc>
      </w:tr>
      <w:tr w:rsidR="00FF0340" w:rsidRPr="007826E7" w:rsidTr="00092E09">
        <w:trPr>
          <w:cantSplit/>
          <w:tblHeader/>
          <w:jc w:val="center"/>
        </w:trPr>
        <w:tc>
          <w:tcPr>
            <w:tcW w:w="3018" w:type="dxa"/>
            <w:shd w:val="clear" w:color="auto" w:fill="FFFFFF"/>
          </w:tcPr>
          <w:p w:rsidR="00FF0340" w:rsidRPr="007826E7" w:rsidRDefault="0032571C"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Interpersonal Relationships</w:t>
            </w:r>
          </w:p>
        </w:tc>
        <w:tc>
          <w:tcPr>
            <w:tcW w:w="1149" w:type="dxa"/>
            <w:shd w:val="clear" w:color="auto" w:fill="FFFFFF"/>
          </w:tcPr>
          <w:p w:rsidR="00FF0340" w:rsidRPr="007826E7"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25,13</w:t>
            </w:r>
          </w:p>
        </w:tc>
        <w:tc>
          <w:tcPr>
            <w:tcW w:w="1149" w:type="dxa"/>
            <w:shd w:val="clear" w:color="auto" w:fill="FFFFFF"/>
          </w:tcPr>
          <w:p w:rsidR="00FF0340" w:rsidRPr="007826E7"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25,00</w:t>
            </w:r>
          </w:p>
        </w:tc>
        <w:tc>
          <w:tcPr>
            <w:tcW w:w="1149" w:type="dxa"/>
            <w:shd w:val="clear" w:color="auto" w:fill="FFFFFF"/>
          </w:tcPr>
          <w:p w:rsidR="00FF0340"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0,893</w:t>
            </w:r>
          </w:p>
        </w:tc>
      </w:tr>
      <w:tr w:rsidR="00FF0340" w:rsidRPr="007826E7" w:rsidTr="00092E09">
        <w:trPr>
          <w:cantSplit/>
          <w:jc w:val="center"/>
        </w:trPr>
        <w:tc>
          <w:tcPr>
            <w:tcW w:w="3018" w:type="dxa"/>
            <w:shd w:val="clear" w:color="auto" w:fill="FFFFFF"/>
          </w:tcPr>
          <w:p w:rsidR="00FF0340" w:rsidRPr="007826E7" w:rsidRDefault="001A1096" w:rsidP="001A1096">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Stress Management</w:t>
            </w:r>
          </w:p>
        </w:tc>
        <w:tc>
          <w:tcPr>
            <w:tcW w:w="1149" w:type="dxa"/>
            <w:shd w:val="clear" w:color="auto" w:fill="FFFFFF"/>
          </w:tcPr>
          <w:p w:rsidR="00FF0340" w:rsidRPr="007826E7"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20,03</w:t>
            </w:r>
          </w:p>
        </w:tc>
        <w:tc>
          <w:tcPr>
            <w:tcW w:w="1149" w:type="dxa"/>
            <w:shd w:val="clear" w:color="auto" w:fill="FFFFFF"/>
          </w:tcPr>
          <w:p w:rsidR="00FF0340" w:rsidRPr="007826E7"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20,72</w:t>
            </w:r>
          </w:p>
        </w:tc>
        <w:tc>
          <w:tcPr>
            <w:tcW w:w="1149" w:type="dxa"/>
            <w:shd w:val="clear" w:color="auto" w:fill="FFFFFF"/>
          </w:tcPr>
          <w:p w:rsidR="00FF0340" w:rsidRDefault="00FF0340" w:rsidP="00092E09">
            <w:pPr>
              <w:autoSpaceDE w:val="0"/>
              <w:autoSpaceDN w:val="0"/>
              <w:adjustRightInd w:val="0"/>
              <w:spacing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0,348</w:t>
            </w:r>
          </w:p>
        </w:tc>
      </w:tr>
      <w:tr w:rsidR="00FF0340" w:rsidRPr="007826E7" w:rsidTr="00092E09">
        <w:trPr>
          <w:cantSplit/>
          <w:jc w:val="center"/>
        </w:trPr>
        <w:tc>
          <w:tcPr>
            <w:tcW w:w="3018" w:type="dxa"/>
            <w:tcBorders>
              <w:bottom w:val="single" w:sz="4" w:space="0" w:color="auto"/>
            </w:tcBorders>
            <w:shd w:val="clear" w:color="auto" w:fill="E7E6E6" w:themeFill="background2"/>
          </w:tcPr>
          <w:p w:rsidR="001A1096" w:rsidRPr="007826E7" w:rsidRDefault="001A1096" w:rsidP="001A1096">
            <w:pPr>
              <w:autoSpaceDE w:val="0"/>
              <w:autoSpaceDN w:val="0"/>
              <w:adjustRightInd w:val="0"/>
              <w:spacing w:line="320" w:lineRule="atLeast"/>
              <w:ind w:left="60" w:right="60"/>
              <w:jc w:val="center"/>
              <w:rPr>
                <w:rFonts w:ascii="Arial" w:hAnsi="Arial" w:cs="Arial"/>
                <w:b/>
                <w:color w:val="000000"/>
                <w:sz w:val="20"/>
                <w:szCs w:val="20"/>
                <w:lang w:eastAsia="es-CO"/>
              </w:rPr>
            </w:pPr>
            <w:r>
              <w:rPr>
                <w:rFonts w:ascii="Arial" w:hAnsi="Arial" w:cs="Arial"/>
                <w:b/>
                <w:color w:val="000000"/>
                <w:sz w:val="20"/>
                <w:szCs w:val="20"/>
                <w:lang w:eastAsia="es-CO"/>
              </w:rPr>
              <w:t>Average</w:t>
            </w:r>
            <w:r w:rsidR="00FF0340" w:rsidRPr="007826E7">
              <w:rPr>
                <w:rFonts w:ascii="Arial" w:hAnsi="Arial" w:cs="Arial"/>
                <w:b/>
                <w:color w:val="000000"/>
                <w:sz w:val="20"/>
                <w:szCs w:val="20"/>
                <w:lang w:eastAsia="es-CO"/>
              </w:rPr>
              <w:t xml:space="preserve"> </w:t>
            </w:r>
            <w:r w:rsidRPr="001A1096">
              <w:rPr>
                <w:rFonts w:ascii="Arial" w:hAnsi="Arial" w:cs="Arial"/>
                <w:b/>
                <w:color w:val="000000"/>
                <w:sz w:val="20"/>
                <w:szCs w:val="20"/>
                <w:lang w:eastAsia="es-CO"/>
              </w:rPr>
              <w:t>HPLP II</w:t>
            </w:r>
          </w:p>
        </w:tc>
        <w:tc>
          <w:tcPr>
            <w:tcW w:w="1149" w:type="dxa"/>
            <w:tcBorders>
              <w:bottom w:val="single" w:sz="4" w:space="0" w:color="auto"/>
            </w:tcBorders>
            <w:shd w:val="clear" w:color="auto" w:fill="E7E6E6" w:themeFill="background2"/>
            <w:vAlign w:val="bottom"/>
          </w:tcPr>
          <w:p w:rsidR="00FF0340" w:rsidRPr="00ED03BB" w:rsidRDefault="00FF0340" w:rsidP="00092E09">
            <w:pPr>
              <w:autoSpaceDE w:val="0"/>
              <w:autoSpaceDN w:val="0"/>
              <w:adjustRightInd w:val="0"/>
              <w:spacing w:line="320" w:lineRule="atLeast"/>
              <w:ind w:left="60" w:right="60"/>
              <w:jc w:val="center"/>
              <w:rPr>
                <w:rFonts w:ascii="Arial" w:hAnsi="Arial" w:cs="Arial"/>
                <w:b/>
                <w:color w:val="000000"/>
                <w:sz w:val="20"/>
                <w:szCs w:val="20"/>
                <w:lang w:eastAsia="es-CO"/>
              </w:rPr>
            </w:pPr>
            <w:r w:rsidRPr="00ED03BB">
              <w:rPr>
                <w:rFonts w:ascii="Arial" w:hAnsi="Arial" w:cs="Arial"/>
                <w:b/>
                <w:color w:val="000000"/>
                <w:sz w:val="20"/>
                <w:szCs w:val="20"/>
              </w:rPr>
              <w:t>127,9</w:t>
            </w:r>
          </w:p>
        </w:tc>
        <w:tc>
          <w:tcPr>
            <w:tcW w:w="1149" w:type="dxa"/>
            <w:tcBorders>
              <w:bottom w:val="single" w:sz="4" w:space="0" w:color="auto"/>
            </w:tcBorders>
            <w:shd w:val="clear" w:color="auto" w:fill="E7E6E6" w:themeFill="background2"/>
            <w:vAlign w:val="bottom"/>
          </w:tcPr>
          <w:p w:rsidR="00FF0340" w:rsidRPr="00ED03BB" w:rsidRDefault="00FF0340" w:rsidP="00092E09">
            <w:pPr>
              <w:autoSpaceDE w:val="0"/>
              <w:autoSpaceDN w:val="0"/>
              <w:adjustRightInd w:val="0"/>
              <w:spacing w:line="320" w:lineRule="atLeast"/>
              <w:ind w:left="60" w:right="60"/>
              <w:jc w:val="center"/>
              <w:rPr>
                <w:rFonts w:ascii="Arial" w:hAnsi="Arial" w:cs="Arial"/>
                <w:b/>
                <w:color w:val="000000"/>
                <w:sz w:val="20"/>
                <w:szCs w:val="20"/>
                <w:lang w:eastAsia="es-CO"/>
              </w:rPr>
            </w:pPr>
            <w:r w:rsidRPr="00ED03BB">
              <w:rPr>
                <w:rFonts w:ascii="Arial" w:hAnsi="Arial" w:cs="Arial"/>
                <w:b/>
                <w:color w:val="000000"/>
                <w:sz w:val="20"/>
                <w:szCs w:val="20"/>
              </w:rPr>
              <w:t>130,43</w:t>
            </w:r>
          </w:p>
        </w:tc>
        <w:tc>
          <w:tcPr>
            <w:tcW w:w="1149" w:type="dxa"/>
            <w:tcBorders>
              <w:bottom w:val="single" w:sz="4" w:space="0" w:color="auto"/>
            </w:tcBorders>
            <w:shd w:val="clear" w:color="auto" w:fill="E7E6E6" w:themeFill="background2"/>
          </w:tcPr>
          <w:p w:rsidR="00FF0340" w:rsidRPr="00ED03BB" w:rsidRDefault="00FF0340" w:rsidP="00092E09">
            <w:pPr>
              <w:autoSpaceDE w:val="0"/>
              <w:autoSpaceDN w:val="0"/>
              <w:adjustRightInd w:val="0"/>
              <w:spacing w:line="320" w:lineRule="atLeast"/>
              <w:ind w:left="60" w:right="60"/>
              <w:jc w:val="center"/>
              <w:rPr>
                <w:rFonts w:ascii="Arial" w:hAnsi="Arial" w:cs="Arial"/>
                <w:b/>
                <w:color w:val="000000"/>
                <w:sz w:val="20"/>
                <w:szCs w:val="20"/>
              </w:rPr>
            </w:pPr>
            <w:r>
              <w:rPr>
                <w:rFonts w:ascii="Arial" w:hAnsi="Arial" w:cs="Arial"/>
                <w:b/>
                <w:color w:val="000000"/>
                <w:sz w:val="20"/>
                <w:szCs w:val="20"/>
              </w:rPr>
              <w:t>0,494</w:t>
            </w:r>
          </w:p>
        </w:tc>
      </w:tr>
    </w:tbl>
    <w:p w:rsidR="00FF0340" w:rsidRPr="000324C0" w:rsidRDefault="00FF0340" w:rsidP="00FF0340">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44653F" w:rsidRPr="0044653F">
        <w:rPr>
          <w:rFonts w:ascii="Arial" w:hAnsi="Arial" w:cs="Arial"/>
          <w:i/>
          <w:sz w:val="20"/>
          <w:szCs w:val="20"/>
          <w:lang w:val="en-US"/>
        </w:rPr>
        <w:t>Source</w:t>
      </w:r>
      <w:r w:rsidRPr="0044653F">
        <w:rPr>
          <w:rFonts w:ascii="Arial" w:hAnsi="Arial" w:cs="Arial"/>
          <w:i/>
          <w:sz w:val="20"/>
          <w:szCs w:val="20"/>
          <w:lang w:val="en-US"/>
        </w:rPr>
        <w:t xml:space="preserve">: </w:t>
      </w:r>
      <w:r w:rsidR="000D3437">
        <w:rPr>
          <w:rFonts w:ascii="Arial" w:hAnsi="Arial" w:cs="Arial"/>
          <w:i/>
          <w:sz w:val="20"/>
          <w:szCs w:val="20"/>
          <w:lang w:val="en-US"/>
        </w:rPr>
        <w:t>elaborat</w:t>
      </w:r>
      <w:r w:rsidR="0044653F" w:rsidRPr="0044653F">
        <w:rPr>
          <w:rFonts w:ascii="Arial" w:hAnsi="Arial" w:cs="Arial"/>
          <w:i/>
          <w:sz w:val="20"/>
          <w:szCs w:val="20"/>
          <w:lang w:val="en-US"/>
        </w:rPr>
        <w:t>ed by the author</w:t>
      </w:r>
    </w:p>
    <w:p w:rsidR="000324C0" w:rsidRDefault="000324C0" w:rsidP="00FF0340">
      <w:pPr>
        <w:jc w:val="center"/>
        <w:rPr>
          <w:rFonts w:ascii="Arial" w:hAnsi="Arial" w:cs="Arial"/>
          <w:b/>
          <w:i/>
          <w:noProof/>
          <w:sz w:val="20"/>
          <w:szCs w:val="20"/>
          <w:lang w:val="en-US" w:eastAsia="es-CO"/>
        </w:rPr>
      </w:pPr>
    </w:p>
    <w:p w:rsidR="003708E2" w:rsidRDefault="003708E2" w:rsidP="00FF0340">
      <w:pPr>
        <w:jc w:val="center"/>
        <w:rPr>
          <w:rFonts w:ascii="Arial" w:hAnsi="Arial" w:cs="Arial"/>
          <w:b/>
          <w:i/>
          <w:noProof/>
          <w:sz w:val="20"/>
          <w:szCs w:val="20"/>
          <w:lang w:val="en-US" w:eastAsia="es-CO"/>
        </w:rPr>
      </w:pPr>
    </w:p>
    <w:p w:rsidR="00FF0340" w:rsidRPr="001E6D64" w:rsidRDefault="001E6D64" w:rsidP="00FF0340">
      <w:pPr>
        <w:jc w:val="center"/>
        <w:rPr>
          <w:rFonts w:ascii="Arial" w:hAnsi="Arial" w:cs="Arial"/>
          <w:i/>
          <w:noProof/>
          <w:sz w:val="20"/>
          <w:szCs w:val="20"/>
          <w:lang w:val="en-US" w:eastAsia="es-CO"/>
        </w:rPr>
      </w:pPr>
      <w:r w:rsidRPr="0044653F">
        <w:rPr>
          <w:rFonts w:ascii="Arial" w:hAnsi="Arial" w:cs="Arial"/>
          <w:b/>
          <w:i/>
          <w:noProof/>
          <w:sz w:val="20"/>
          <w:szCs w:val="20"/>
          <w:lang w:val="en-US" w:eastAsia="es-CO"/>
        </w:rPr>
        <w:t>Table</w:t>
      </w:r>
      <w:r w:rsidR="00FF0340" w:rsidRPr="0044653F">
        <w:rPr>
          <w:rFonts w:ascii="Arial" w:hAnsi="Arial" w:cs="Arial"/>
          <w:b/>
          <w:i/>
          <w:noProof/>
          <w:sz w:val="20"/>
          <w:szCs w:val="20"/>
          <w:lang w:val="en-US" w:eastAsia="es-CO"/>
        </w:rPr>
        <w:t xml:space="preserve"> 2.</w:t>
      </w:r>
      <w:r w:rsidRPr="0044653F">
        <w:rPr>
          <w:rFonts w:ascii="Arial" w:hAnsi="Arial" w:cs="Arial"/>
          <w:i/>
          <w:noProof/>
          <w:sz w:val="20"/>
          <w:szCs w:val="20"/>
          <w:lang w:val="en-US" w:eastAsia="es-CO"/>
        </w:rPr>
        <w:t xml:space="preserve"> </w:t>
      </w:r>
      <w:r w:rsidRPr="001E6D64">
        <w:rPr>
          <w:rFonts w:ascii="Arial" w:hAnsi="Arial" w:cs="Arial"/>
          <w:i/>
          <w:noProof/>
          <w:sz w:val="20"/>
          <w:szCs w:val="20"/>
          <w:lang w:val="en-US" w:eastAsia="es-CO"/>
        </w:rPr>
        <w:t>Descriptive</w:t>
      </w:r>
      <w:r>
        <w:rPr>
          <w:rFonts w:ascii="Arial" w:hAnsi="Arial" w:cs="Arial"/>
          <w:i/>
          <w:noProof/>
          <w:sz w:val="20"/>
          <w:szCs w:val="20"/>
          <w:lang w:val="en-US" w:eastAsia="es-CO"/>
        </w:rPr>
        <w:t xml:space="preserve"> table of the dimensions pertaining to</w:t>
      </w:r>
      <w:r w:rsidRPr="001E6D64">
        <w:rPr>
          <w:rFonts w:ascii="Arial" w:hAnsi="Arial" w:cs="Arial"/>
          <w:i/>
          <w:noProof/>
          <w:sz w:val="20"/>
          <w:szCs w:val="20"/>
          <w:lang w:val="en-US" w:eastAsia="es-CO"/>
        </w:rPr>
        <w:t xml:space="preserve"> the scale HPLP II </w:t>
      </w:r>
      <w:r>
        <w:rPr>
          <w:rFonts w:ascii="Arial" w:hAnsi="Arial" w:cs="Arial"/>
          <w:i/>
          <w:noProof/>
          <w:sz w:val="20"/>
          <w:szCs w:val="20"/>
          <w:lang w:val="en-US" w:eastAsia="es-CO"/>
        </w:rPr>
        <w:t>of the</w:t>
      </w:r>
      <w:r w:rsidR="00FF0340" w:rsidRPr="001E6D64">
        <w:rPr>
          <w:rFonts w:ascii="Arial" w:hAnsi="Arial" w:cs="Arial"/>
          <w:i/>
          <w:noProof/>
          <w:sz w:val="20"/>
          <w:szCs w:val="20"/>
          <w:lang w:val="en-US" w:eastAsia="es-CO"/>
        </w:rPr>
        <w:t xml:space="preserve"> participants</w:t>
      </w:r>
      <w:r w:rsidR="0037404C">
        <w:rPr>
          <w:rFonts w:ascii="Arial" w:hAnsi="Arial" w:cs="Arial"/>
          <w:i/>
          <w:noProof/>
          <w:sz w:val="20"/>
          <w:szCs w:val="20"/>
          <w:lang w:val="en-US" w:eastAsia="es-CO"/>
        </w:rPr>
        <w:t xml:space="preserve"> of this study. </w:t>
      </w:r>
    </w:p>
    <w:tbl>
      <w:tblPr>
        <w:tblW w:w="9659" w:type="dxa"/>
        <w:jc w:val="center"/>
        <w:tblLayout w:type="fixed"/>
        <w:tblCellMar>
          <w:left w:w="0" w:type="dxa"/>
          <w:right w:w="0" w:type="dxa"/>
        </w:tblCellMar>
        <w:tblLook w:val="0000" w:firstRow="0" w:lastRow="0" w:firstColumn="0" w:lastColumn="0" w:noHBand="0" w:noVBand="0"/>
      </w:tblPr>
      <w:tblGrid>
        <w:gridCol w:w="2547"/>
        <w:gridCol w:w="714"/>
        <w:gridCol w:w="1226"/>
        <w:gridCol w:w="1018"/>
        <w:gridCol w:w="1019"/>
        <w:gridCol w:w="1019"/>
        <w:gridCol w:w="1058"/>
        <w:gridCol w:w="1058"/>
      </w:tblGrid>
      <w:tr w:rsidR="00FF0340" w:rsidRPr="006644A8" w:rsidTr="00B47062">
        <w:trPr>
          <w:cantSplit/>
          <w:tblHeader/>
          <w:jc w:val="center"/>
        </w:trPr>
        <w:tc>
          <w:tcPr>
            <w:tcW w:w="2547" w:type="dxa"/>
            <w:tcBorders>
              <w:bottom w:val="single" w:sz="4" w:space="0" w:color="auto"/>
            </w:tcBorders>
            <w:shd w:val="clear" w:color="auto" w:fill="E2EFD9" w:themeFill="accent6" w:themeFillTint="33"/>
            <w:vAlign w:val="center"/>
          </w:tcPr>
          <w:p w:rsidR="00FF0340" w:rsidRPr="00DD1D80" w:rsidRDefault="0044653F" w:rsidP="0044653F">
            <w:pPr>
              <w:autoSpaceDE w:val="0"/>
              <w:autoSpaceDN w:val="0"/>
              <w:adjustRightInd w:val="0"/>
              <w:spacing w:line="240" w:lineRule="auto"/>
              <w:jc w:val="center"/>
              <w:rPr>
                <w:rFonts w:ascii="Arial" w:hAnsi="Arial" w:cs="Arial"/>
                <w:b/>
                <w:sz w:val="20"/>
                <w:szCs w:val="20"/>
                <w:lang w:eastAsia="es-CO"/>
              </w:rPr>
            </w:pPr>
            <w:r>
              <w:rPr>
                <w:rFonts w:ascii="Arial" w:hAnsi="Arial" w:cs="Arial"/>
                <w:b/>
                <w:sz w:val="20"/>
                <w:szCs w:val="20"/>
                <w:lang w:eastAsia="es-CO"/>
              </w:rPr>
              <w:t>Heal</w:t>
            </w:r>
            <w:r w:rsidR="0040168A">
              <w:rPr>
                <w:rFonts w:ascii="Arial" w:hAnsi="Arial" w:cs="Arial"/>
                <w:b/>
                <w:sz w:val="20"/>
                <w:szCs w:val="20"/>
                <w:lang w:eastAsia="es-CO"/>
              </w:rPr>
              <w:t>th-Promotion</w:t>
            </w:r>
            <w:r w:rsidR="00107DC8">
              <w:rPr>
                <w:rFonts w:ascii="Arial" w:hAnsi="Arial" w:cs="Arial"/>
                <w:b/>
                <w:sz w:val="20"/>
                <w:szCs w:val="20"/>
                <w:lang w:eastAsia="es-CO"/>
              </w:rPr>
              <w:t xml:space="preserve"> </w:t>
            </w:r>
            <w:r>
              <w:rPr>
                <w:rFonts w:ascii="Arial" w:hAnsi="Arial" w:cs="Arial"/>
                <w:b/>
                <w:sz w:val="20"/>
                <w:szCs w:val="20"/>
                <w:lang w:eastAsia="es-CO"/>
              </w:rPr>
              <w:t>Behaviors</w:t>
            </w:r>
          </w:p>
        </w:tc>
        <w:tc>
          <w:tcPr>
            <w:tcW w:w="714" w:type="dxa"/>
            <w:tcBorders>
              <w:bottom w:val="single" w:sz="4" w:space="0" w:color="auto"/>
            </w:tcBorders>
            <w:shd w:val="clear" w:color="auto" w:fill="E2EFD9" w:themeFill="accent6" w:themeFillTint="33"/>
            <w:vAlign w:val="bottom"/>
          </w:tcPr>
          <w:p w:rsidR="00FF0340" w:rsidRDefault="00FF0340"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r w:rsidRPr="00DD1D80">
              <w:rPr>
                <w:rFonts w:ascii="Arial" w:hAnsi="Arial" w:cs="Arial"/>
                <w:b/>
                <w:color w:val="000000"/>
                <w:sz w:val="20"/>
                <w:szCs w:val="20"/>
                <w:lang w:eastAsia="es-CO"/>
              </w:rPr>
              <w:t>N</w:t>
            </w:r>
          </w:p>
          <w:p w:rsidR="00FF0340" w:rsidRPr="00DD1D80" w:rsidRDefault="00FF0340" w:rsidP="00092E09">
            <w:pPr>
              <w:autoSpaceDE w:val="0"/>
              <w:autoSpaceDN w:val="0"/>
              <w:adjustRightInd w:val="0"/>
              <w:spacing w:after="0" w:line="320" w:lineRule="atLeast"/>
              <w:ind w:left="60" w:right="60"/>
              <w:jc w:val="center"/>
              <w:rPr>
                <w:rFonts w:ascii="Arial" w:hAnsi="Arial" w:cs="Arial"/>
                <w:b/>
                <w:color w:val="000000"/>
                <w:sz w:val="20"/>
                <w:szCs w:val="20"/>
                <w:lang w:eastAsia="es-CO"/>
              </w:rPr>
            </w:pPr>
          </w:p>
        </w:tc>
        <w:tc>
          <w:tcPr>
            <w:tcW w:w="1226" w:type="dxa"/>
            <w:tcBorders>
              <w:bottom w:val="single" w:sz="4" w:space="0" w:color="auto"/>
            </w:tcBorders>
            <w:shd w:val="clear" w:color="auto" w:fill="E2EFD9" w:themeFill="accent6" w:themeFillTint="33"/>
          </w:tcPr>
          <w:p w:rsidR="006644A8" w:rsidRPr="00B47062" w:rsidRDefault="006644A8"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r w:rsidRPr="00B47062">
              <w:rPr>
                <w:rFonts w:ascii="Arial" w:hAnsi="Arial" w:cs="Arial"/>
                <w:b/>
                <w:color w:val="000000"/>
                <w:sz w:val="20"/>
                <w:szCs w:val="20"/>
                <w:lang w:eastAsia="es-CO"/>
              </w:rPr>
              <w:t>T</w:t>
            </w:r>
            <w:r w:rsidR="00B47062" w:rsidRPr="00B47062">
              <w:rPr>
                <w:rFonts w:ascii="Arial" w:hAnsi="Arial" w:cs="Arial"/>
                <w:b/>
                <w:color w:val="000000"/>
                <w:sz w:val="20"/>
                <w:szCs w:val="20"/>
                <w:lang w:eastAsia="es-CO"/>
              </w:rPr>
              <w:t>h</w:t>
            </w:r>
            <w:r w:rsidRPr="00B47062">
              <w:rPr>
                <w:rFonts w:ascii="Arial" w:hAnsi="Arial" w:cs="Arial"/>
                <w:b/>
                <w:color w:val="000000"/>
                <w:sz w:val="20"/>
                <w:szCs w:val="20"/>
                <w:lang w:eastAsia="es-CO"/>
              </w:rPr>
              <w:t>eoretical</w:t>
            </w:r>
          </w:p>
          <w:p w:rsidR="00FF0340" w:rsidRDefault="00FF0340"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r>
              <w:rPr>
                <w:rFonts w:ascii="Arial" w:hAnsi="Arial" w:cs="Arial"/>
                <w:b/>
                <w:color w:val="000000"/>
                <w:sz w:val="20"/>
                <w:szCs w:val="20"/>
                <w:lang w:eastAsia="es-CO"/>
              </w:rPr>
              <w:t>Mí/Max</w:t>
            </w:r>
          </w:p>
          <w:p w:rsidR="00FF0340" w:rsidRPr="00DD1D80" w:rsidRDefault="00FF0340"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p>
        </w:tc>
        <w:tc>
          <w:tcPr>
            <w:tcW w:w="1018" w:type="dxa"/>
            <w:tcBorders>
              <w:bottom w:val="single" w:sz="4" w:space="0" w:color="auto"/>
            </w:tcBorders>
            <w:shd w:val="clear" w:color="auto" w:fill="E2EFD9" w:themeFill="accent6" w:themeFillTint="33"/>
            <w:vAlign w:val="bottom"/>
          </w:tcPr>
          <w:p w:rsidR="00FF0340" w:rsidRDefault="003B6B83"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r>
              <w:rPr>
                <w:rFonts w:ascii="Arial" w:hAnsi="Arial" w:cs="Arial"/>
                <w:b/>
                <w:color w:val="000000"/>
                <w:sz w:val="20"/>
                <w:szCs w:val="20"/>
                <w:lang w:eastAsia="es-CO"/>
              </w:rPr>
              <w:t>Minimum</w:t>
            </w:r>
          </w:p>
          <w:p w:rsidR="00FF0340" w:rsidRDefault="00FF0340"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p>
          <w:p w:rsidR="00FF0340" w:rsidRPr="00DD1D80" w:rsidRDefault="00FF0340"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p>
        </w:tc>
        <w:tc>
          <w:tcPr>
            <w:tcW w:w="1019" w:type="dxa"/>
            <w:tcBorders>
              <w:bottom w:val="single" w:sz="4" w:space="0" w:color="auto"/>
            </w:tcBorders>
            <w:shd w:val="clear" w:color="auto" w:fill="E2EFD9" w:themeFill="accent6" w:themeFillTint="33"/>
            <w:vAlign w:val="bottom"/>
          </w:tcPr>
          <w:p w:rsidR="00FF0340" w:rsidRPr="003B6B83" w:rsidRDefault="003B6B83" w:rsidP="00092E09">
            <w:pPr>
              <w:autoSpaceDE w:val="0"/>
              <w:autoSpaceDN w:val="0"/>
              <w:adjustRightInd w:val="0"/>
              <w:spacing w:after="0" w:line="240" w:lineRule="auto"/>
              <w:ind w:left="60" w:right="60"/>
              <w:jc w:val="center"/>
              <w:rPr>
                <w:rFonts w:ascii="Arial" w:hAnsi="Arial" w:cs="Arial"/>
                <w:b/>
                <w:color w:val="000000"/>
                <w:sz w:val="18"/>
                <w:szCs w:val="20"/>
                <w:lang w:eastAsia="es-CO"/>
              </w:rPr>
            </w:pPr>
            <w:r w:rsidRPr="003B6B83">
              <w:rPr>
                <w:rFonts w:ascii="Arial" w:hAnsi="Arial" w:cs="Arial"/>
                <w:b/>
                <w:color w:val="000000"/>
                <w:sz w:val="18"/>
                <w:szCs w:val="20"/>
                <w:lang w:eastAsia="es-CO"/>
              </w:rPr>
              <w:t>Maximum</w:t>
            </w:r>
          </w:p>
          <w:p w:rsidR="00FF0340" w:rsidRDefault="00FF0340"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p>
          <w:p w:rsidR="00FF0340" w:rsidRPr="00DD1D80" w:rsidRDefault="00FF0340"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p>
        </w:tc>
        <w:tc>
          <w:tcPr>
            <w:tcW w:w="1019" w:type="dxa"/>
            <w:tcBorders>
              <w:bottom w:val="single" w:sz="4" w:space="0" w:color="auto"/>
            </w:tcBorders>
            <w:shd w:val="clear" w:color="auto" w:fill="E2EFD9" w:themeFill="accent6" w:themeFillTint="33"/>
            <w:vAlign w:val="bottom"/>
          </w:tcPr>
          <w:p w:rsidR="00FF0340" w:rsidRDefault="003B6B83"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r>
              <w:rPr>
                <w:rFonts w:ascii="Arial" w:hAnsi="Arial" w:cs="Arial"/>
                <w:b/>
                <w:color w:val="000000"/>
                <w:sz w:val="20"/>
                <w:szCs w:val="20"/>
                <w:lang w:eastAsia="es-CO"/>
              </w:rPr>
              <w:t>Mean</w:t>
            </w:r>
          </w:p>
          <w:p w:rsidR="00FF0340" w:rsidRDefault="00FF0340"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p>
          <w:p w:rsidR="00FF0340" w:rsidRPr="00DD1D80" w:rsidRDefault="00FF0340" w:rsidP="00092E09">
            <w:pPr>
              <w:autoSpaceDE w:val="0"/>
              <w:autoSpaceDN w:val="0"/>
              <w:adjustRightInd w:val="0"/>
              <w:spacing w:after="0" w:line="240" w:lineRule="auto"/>
              <w:ind w:left="60" w:right="60"/>
              <w:jc w:val="center"/>
              <w:rPr>
                <w:rFonts w:ascii="Arial" w:hAnsi="Arial" w:cs="Arial"/>
                <w:b/>
                <w:color w:val="000000"/>
                <w:sz w:val="20"/>
                <w:szCs w:val="20"/>
                <w:lang w:eastAsia="es-CO"/>
              </w:rPr>
            </w:pPr>
          </w:p>
        </w:tc>
        <w:tc>
          <w:tcPr>
            <w:tcW w:w="1058" w:type="dxa"/>
            <w:tcBorders>
              <w:bottom w:val="single" w:sz="4" w:space="0" w:color="auto"/>
            </w:tcBorders>
            <w:shd w:val="clear" w:color="auto" w:fill="E2EFD9" w:themeFill="accent6" w:themeFillTint="33"/>
            <w:vAlign w:val="bottom"/>
          </w:tcPr>
          <w:p w:rsidR="00FF0340" w:rsidRPr="006644A8" w:rsidRDefault="006644A8" w:rsidP="00092E09">
            <w:pPr>
              <w:autoSpaceDE w:val="0"/>
              <w:autoSpaceDN w:val="0"/>
              <w:adjustRightInd w:val="0"/>
              <w:spacing w:after="0" w:line="240" w:lineRule="auto"/>
              <w:ind w:left="60" w:right="60"/>
              <w:jc w:val="center"/>
              <w:rPr>
                <w:rFonts w:ascii="Arial" w:hAnsi="Arial" w:cs="Arial"/>
                <w:b/>
                <w:color w:val="000000"/>
                <w:sz w:val="20"/>
                <w:szCs w:val="20"/>
                <w:lang w:val="en-US" w:eastAsia="es-CO"/>
              </w:rPr>
            </w:pPr>
            <w:r w:rsidRPr="006644A8">
              <w:rPr>
                <w:rFonts w:ascii="Arial" w:hAnsi="Arial" w:cs="Arial"/>
                <w:b/>
                <w:color w:val="000000"/>
                <w:sz w:val="20"/>
                <w:szCs w:val="20"/>
                <w:lang w:val="en-US" w:eastAsia="es-CO"/>
              </w:rPr>
              <w:t xml:space="preserve">Typ. </w:t>
            </w:r>
            <w:r w:rsidR="00FF0340" w:rsidRPr="006644A8">
              <w:rPr>
                <w:rFonts w:ascii="Arial" w:hAnsi="Arial" w:cs="Arial"/>
                <w:b/>
                <w:color w:val="000000"/>
                <w:sz w:val="20"/>
                <w:szCs w:val="20"/>
                <w:lang w:val="en-US" w:eastAsia="es-CO"/>
              </w:rPr>
              <w:t>De</w:t>
            </w:r>
            <w:r>
              <w:rPr>
                <w:rFonts w:ascii="Arial" w:hAnsi="Arial" w:cs="Arial"/>
                <w:b/>
                <w:color w:val="000000"/>
                <w:sz w:val="20"/>
                <w:szCs w:val="20"/>
                <w:lang w:val="en-US" w:eastAsia="es-CO"/>
              </w:rPr>
              <w:t>viation</w:t>
            </w:r>
          </w:p>
          <w:p w:rsidR="00FF0340" w:rsidRPr="006644A8" w:rsidRDefault="00FF0340" w:rsidP="00092E09">
            <w:pPr>
              <w:autoSpaceDE w:val="0"/>
              <w:autoSpaceDN w:val="0"/>
              <w:adjustRightInd w:val="0"/>
              <w:spacing w:after="0" w:line="240" w:lineRule="auto"/>
              <w:ind w:left="60" w:right="60"/>
              <w:jc w:val="center"/>
              <w:rPr>
                <w:rFonts w:ascii="Arial" w:hAnsi="Arial" w:cs="Arial"/>
                <w:b/>
                <w:color w:val="000000"/>
                <w:sz w:val="20"/>
                <w:szCs w:val="20"/>
                <w:lang w:val="en-US" w:eastAsia="es-CO"/>
              </w:rPr>
            </w:pPr>
          </w:p>
          <w:p w:rsidR="00FF0340" w:rsidRPr="006644A8" w:rsidRDefault="00FF0340" w:rsidP="00092E09">
            <w:pPr>
              <w:autoSpaceDE w:val="0"/>
              <w:autoSpaceDN w:val="0"/>
              <w:adjustRightInd w:val="0"/>
              <w:spacing w:after="0" w:line="240" w:lineRule="auto"/>
              <w:ind w:left="60" w:right="60"/>
              <w:jc w:val="center"/>
              <w:rPr>
                <w:rFonts w:ascii="Arial" w:hAnsi="Arial" w:cs="Arial"/>
                <w:b/>
                <w:color w:val="000000"/>
                <w:sz w:val="20"/>
                <w:szCs w:val="20"/>
                <w:lang w:val="en-US" w:eastAsia="es-CO"/>
              </w:rPr>
            </w:pPr>
          </w:p>
        </w:tc>
        <w:tc>
          <w:tcPr>
            <w:tcW w:w="1058" w:type="dxa"/>
            <w:tcBorders>
              <w:bottom w:val="single" w:sz="4" w:space="0" w:color="auto"/>
            </w:tcBorders>
            <w:shd w:val="clear" w:color="auto" w:fill="E2EFD9" w:themeFill="accent6" w:themeFillTint="33"/>
          </w:tcPr>
          <w:p w:rsidR="00FF0340" w:rsidRPr="006644A8" w:rsidRDefault="00FF0340" w:rsidP="003B6B83">
            <w:pPr>
              <w:autoSpaceDE w:val="0"/>
              <w:autoSpaceDN w:val="0"/>
              <w:adjustRightInd w:val="0"/>
              <w:spacing w:after="0" w:line="240" w:lineRule="auto"/>
              <w:ind w:left="60" w:right="60"/>
              <w:jc w:val="center"/>
              <w:rPr>
                <w:rFonts w:ascii="Arial" w:hAnsi="Arial" w:cs="Arial"/>
                <w:b/>
                <w:color w:val="000000"/>
                <w:sz w:val="20"/>
                <w:szCs w:val="20"/>
                <w:lang w:val="en-US" w:eastAsia="es-CO"/>
              </w:rPr>
            </w:pPr>
            <w:r w:rsidRPr="006644A8">
              <w:rPr>
                <w:rFonts w:ascii="Arial" w:hAnsi="Arial" w:cs="Arial"/>
                <w:b/>
                <w:color w:val="000000"/>
                <w:sz w:val="20"/>
                <w:szCs w:val="20"/>
                <w:lang w:val="en-US" w:eastAsia="es-CO"/>
              </w:rPr>
              <w:t>Varia</w:t>
            </w:r>
            <w:r w:rsidR="003B6B83" w:rsidRPr="006644A8">
              <w:rPr>
                <w:rFonts w:ascii="Arial" w:hAnsi="Arial" w:cs="Arial"/>
                <w:b/>
                <w:color w:val="000000"/>
                <w:sz w:val="20"/>
                <w:szCs w:val="20"/>
                <w:lang w:val="en-US" w:eastAsia="es-CO"/>
              </w:rPr>
              <w:t>tion</w:t>
            </w:r>
          </w:p>
          <w:p w:rsidR="003B6B83" w:rsidRPr="006644A8" w:rsidRDefault="003B6B83" w:rsidP="003B6B83">
            <w:pPr>
              <w:autoSpaceDE w:val="0"/>
              <w:autoSpaceDN w:val="0"/>
              <w:adjustRightInd w:val="0"/>
              <w:spacing w:after="0" w:line="240" w:lineRule="auto"/>
              <w:ind w:left="60" w:right="60"/>
              <w:jc w:val="center"/>
              <w:rPr>
                <w:rFonts w:ascii="Arial" w:hAnsi="Arial" w:cs="Arial"/>
                <w:b/>
                <w:color w:val="000000"/>
                <w:sz w:val="20"/>
                <w:szCs w:val="20"/>
                <w:lang w:val="en-US" w:eastAsia="es-CO"/>
              </w:rPr>
            </w:pPr>
            <w:r w:rsidRPr="006644A8">
              <w:rPr>
                <w:rFonts w:ascii="Arial" w:hAnsi="Arial" w:cs="Arial"/>
                <w:b/>
                <w:color w:val="000000"/>
                <w:sz w:val="20"/>
                <w:szCs w:val="20"/>
                <w:lang w:val="en-US" w:eastAsia="es-CO"/>
              </w:rPr>
              <w:t>Coe</w:t>
            </w:r>
            <w:r w:rsidR="006644A8" w:rsidRPr="006644A8">
              <w:rPr>
                <w:rFonts w:ascii="Arial" w:hAnsi="Arial" w:cs="Arial"/>
                <w:b/>
                <w:color w:val="000000"/>
                <w:sz w:val="20"/>
                <w:szCs w:val="20"/>
                <w:lang w:val="en-US" w:eastAsia="es-CO"/>
              </w:rPr>
              <w:t>f</w:t>
            </w:r>
            <w:r w:rsidRPr="006644A8">
              <w:rPr>
                <w:rFonts w:ascii="Arial" w:hAnsi="Arial" w:cs="Arial"/>
                <w:b/>
                <w:color w:val="000000"/>
                <w:sz w:val="20"/>
                <w:szCs w:val="20"/>
                <w:lang w:val="en-US" w:eastAsia="es-CO"/>
              </w:rPr>
              <w:t>fic</w:t>
            </w:r>
          </w:p>
          <w:p w:rsidR="003B6B83" w:rsidRPr="006644A8" w:rsidRDefault="003B6B83" w:rsidP="003B6B83">
            <w:pPr>
              <w:autoSpaceDE w:val="0"/>
              <w:autoSpaceDN w:val="0"/>
              <w:adjustRightInd w:val="0"/>
              <w:spacing w:after="0" w:line="240" w:lineRule="auto"/>
              <w:ind w:left="60" w:right="60"/>
              <w:jc w:val="center"/>
              <w:rPr>
                <w:rFonts w:ascii="Arial" w:hAnsi="Arial" w:cs="Arial"/>
                <w:b/>
                <w:color w:val="000000"/>
                <w:sz w:val="20"/>
                <w:szCs w:val="20"/>
                <w:lang w:val="en-US" w:eastAsia="es-CO"/>
              </w:rPr>
            </w:pPr>
          </w:p>
        </w:tc>
      </w:tr>
      <w:tr w:rsidR="00FF0340" w:rsidRPr="006644A8" w:rsidTr="00B47062">
        <w:trPr>
          <w:cantSplit/>
          <w:tblHeader/>
          <w:jc w:val="center"/>
        </w:trPr>
        <w:tc>
          <w:tcPr>
            <w:tcW w:w="2547" w:type="dxa"/>
            <w:tcBorders>
              <w:top w:val="single" w:sz="4" w:space="0" w:color="auto"/>
            </w:tcBorders>
            <w:shd w:val="clear" w:color="auto" w:fill="FFFFFF"/>
          </w:tcPr>
          <w:p w:rsidR="00FF0340" w:rsidRPr="006644A8" w:rsidRDefault="006644A8" w:rsidP="00092E09">
            <w:pPr>
              <w:autoSpaceDE w:val="0"/>
              <w:autoSpaceDN w:val="0"/>
              <w:adjustRightInd w:val="0"/>
              <w:spacing w:after="0" w:line="240" w:lineRule="auto"/>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Health Responsi</w:t>
            </w:r>
            <w:r w:rsidR="003B6B83" w:rsidRPr="006644A8">
              <w:rPr>
                <w:rFonts w:ascii="Arial" w:hAnsi="Arial" w:cs="Arial"/>
                <w:color w:val="000000"/>
                <w:sz w:val="20"/>
                <w:szCs w:val="20"/>
                <w:lang w:val="en-US" w:eastAsia="es-CO"/>
              </w:rPr>
              <w:t>bilities</w:t>
            </w:r>
          </w:p>
          <w:p w:rsidR="00FF0340" w:rsidRPr="006644A8" w:rsidRDefault="00FF0340" w:rsidP="00092E09">
            <w:pPr>
              <w:autoSpaceDE w:val="0"/>
              <w:autoSpaceDN w:val="0"/>
              <w:adjustRightInd w:val="0"/>
              <w:spacing w:after="0" w:line="240" w:lineRule="auto"/>
              <w:ind w:left="60" w:right="60"/>
              <w:jc w:val="center"/>
              <w:rPr>
                <w:rFonts w:ascii="Arial" w:hAnsi="Arial" w:cs="Arial"/>
                <w:color w:val="000000"/>
                <w:sz w:val="20"/>
                <w:szCs w:val="20"/>
                <w:lang w:val="en-US" w:eastAsia="es-CO"/>
              </w:rPr>
            </w:pPr>
          </w:p>
        </w:tc>
        <w:tc>
          <w:tcPr>
            <w:tcW w:w="714" w:type="dxa"/>
            <w:tcBorders>
              <w:top w:val="single" w:sz="4" w:space="0" w:color="auto"/>
            </w:tcBorders>
            <w:shd w:val="clear" w:color="auto" w:fill="FFFFFF"/>
          </w:tcPr>
          <w:p w:rsidR="00FF0340" w:rsidRPr="006644A8" w:rsidRDefault="00FF0340" w:rsidP="00092E09">
            <w:pPr>
              <w:autoSpaceDE w:val="0"/>
              <w:autoSpaceDN w:val="0"/>
              <w:adjustRightInd w:val="0"/>
              <w:spacing w:after="0" w:line="320" w:lineRule="atLeast"/>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125</w:t>
            </w:r>
          </w:p>
        </w:tc>
        <w:tc>
          <w:tcPr>
            <w:tcW w:w="1226" w:type="dxa"/>
            <w:tcBorders>
              <w:top w:val="single" w:sz="4" w:space="0" w:color="auto"/>
            </w:tcBorders>
            <w:shd w:val="clear" w:color="auto" w:fill="FFFFFF"/>
          </w:tcPr>
          <w:p w:rsidR="00FF0340" w:rsidRPr="006644A8" w:rsidRDefault="00FF0340" w:rsidP="00092E09">
            <w:pPr>
              <w:autoSpaceDE w:val="0"/>
              <w:autoSpaceDN w:val="0"/>
              <w:adjustRightInd w:val="0"/>
              <w:spacing w:after="0" w:line="320" w:lineRule="atLeast"/>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9/36</w:t>
            </w:r>
          </w:p>
        </w:tc>
        <w:tc>
          <w:tcPr>
            <w:tcW w:w="1018" w:type="dxa"/>
            <w:tcBorders>
              <w:top w:val="single" w:sz="4" w:space="0" w:color="auto"/>
            </w:tcBorders>
            <w:shd w:val="clear" w:color="auto" w:fill="FFFFFF"/>
          </w:tcPr>
          <w:p w:rsidR="00FF0340" w:rsidRPr="006644A8" w:rsidRDefault="00FF0340" w:rsidP="00092E09">
            <w:pPr>
              <w:autoSpaceDE w:val="0"/>
              <w:autoSpaceDN w:val="0"/>
              <w:adjustRightInd w:val="0"/>
              <w:spacing w:after="0" w:line="320" w:lineRule="atLeast"/>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9</w:t>
            </w:r>
          </w:p>
        </w:tc>
        <w:tc>
          <w:tcPr>
            <w:tcW w:w="1019" w:type="dxa"/>
            <w:tcBorders>
              <w:top w:val="single" w:sz="4" w:space="0" w:color="auto"/>
            </w:tcBorders>
            <w:shd w:val="clear" w:color="auto" w:fill="FFFFFF"/>
          </w:tcPr>
          <w:p w:rsidR="00FF0340" w:rsidRPr="006644A8" w:rsidRDefault="00FF0340" w:rsidP="00092E09">
            <w:pPr>
              <w:autoSpaceDE w:val="0"/>
              <w:autoSpaceDN w:val="0"/>
              <w:adjustRightInd w:val="0"/>
              <w:spacing w:after="0" w:line="320" w:lineRule="atLeast"/>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33</w:t>
            </w:r>
          </w:p>
        </w:tc>
        <w:tc>
          <w:tcPr>
            <w:tcW w:w="1019" w:type="dxa"/>
            <w:tcBorders>
              <w:top w:val="single" w:sz="4" w:space="0" w:color="auto"/>
            </w:tcBorders>
            <w:shd w:val="clear" w:color="auto" w:fill="FFFFFF"/>
          </w:tcPr>
          <w:p w:rsidR="00FF0340" w:rsidRPr="006644A8" w:rsidRDefault="00FF0340" w:rsidP="00092E09">
            <w:pPr>
              <w:autoSpaceDE w:val="0"/>
              <w:autoSpaceDN w:val="0"/>
              <w:adjustRightInd w:val="0"/>
              <w:spacing w:after="0" w:line="320" w:lineRule="atLeast"/>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22,9</w:t>
            </w:r>
          </w:p>
        </w:tc>
        <w:tc>
          <w:tcPr>
            <w:tcW w:w="1058" w:type="dxa"/>
            <w:tcBorders>
              <w:top w:val="single" w:sz="4" w:space="0" w:color="auto"/>
            </w:tcBorders>
            <w:shd w:val="clear" w:color="auto" w:fill="FFFFFF"/>
          </w:tcPr>
          <w:p w:rsidR="00FF0340" w:rsidRPr="006644A8" w:rsidRDefault="00FF0340" w:rsidP="00092E09">
            <w:pPr>
              <w:autoSpaceDE w:val="0"/>
              <w:autoSpaceDN w:val="0"/>
              <w:adjustRightInd w:val="0"/>
              <w:spacing w:after="0" w:line="320" w:lineRule="atLeast"/>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4,8</w:t>
            </w:r>
          </w:p>
        </w:tc>
        <w:tc>
          <w:tcPr>
            <w:tcW w:w="1058" w:type="dxa"/>
            <w:tcBorders>
              <w:top w:val="single" w:sz="4" w:space="0" w:color="auto"/>
            </w:tcBorders>
            <w:shd w:val="clear" w:color="auto" w:fill="FFFFFF"/>
          </w:tcPr>
          <w:p w:rsidR="00FF0340" w:rsidRPr="006644A8" w:rsidRDefault="00FF0340" w:rsidP="00092E09">
            <w:pPr>
              <w:autoSpaceDE w:val="0"/>
              <w:autoSpaceDN w:val="0"/>
              <w:adjustRightInd w:val="0"/>
              <w:spacing w:after="0" w:line="320" w:lineRule="atLeast"/>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20,8</w:t>
            </w:r>
          </w:p>
        </w:tc>
      </w:tr>
      <w:tr w:rsidR="00FF0340" w:rsidRPr="006644A8" w:rsidTr="00B47062">
        <w:trPr>
          <w:cantSplit/>
          <w:tblHeader/>
          <w:jc w:val="center"/>
        </w:trPr>
        <w:tc>
          <w:tcPr>
            <w:tcW w:w="2547" w:type="dxa"/>
            <w:shd w:val="clear" w:color="auto" w:fill="FFFFFF"/>
          </w:tcPr>
          <w:p w:rsidR="00FF0340" w:rsidRPr="006644A8" w:rsidRDefault="003B6B83" w:rsidP="00092E09">
            <w:pPr>
              <w:autoSpaceDE w:val="0"/>
              <w:autoSpaceDN w:val="0"/>
              <w:adjustRightInd w:val="0"/>
              <w:spacing w:after="0" w:line="240" w:lineRule="auto"/>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Physical Activity</w:t>
            </w:r>
          </w:p>
          <w:p w:rsidR="00FF0340" w:rsidRPr="006644A8" w:rsidRDefault="00FF0340" w:rsidP="00092E09">
            <w:pPr>
              <w:autoSpaceDE w:val="0"/>
              <w:autoSpaceDN w:val="0"/>
              <w:adjustRightInd w:val="0"/>
              <w:spacing w:after="0" w:line="240" w:lineRule="auto"/>
              <w:ind w:left="60" w:right="60"/>
              <w:jc w:val="center"/>
              <w:rPr>
                <w:rFonts w:ascii="Arial" w:hAnsi="Arial" w:cs="Arial"/>
                <w:color w:val="000000"/>
                <w:sz w:val="20"/>
                <w:szCs w:val="20"/>
                <w:lang w:val="en-US" w:eastAsia="es-CO"/>
              </w:rPr>
            </w:pPr>
          </w:p>
        </w:tc>
        <w:tc>
          <w:tcPr>
            <w:tcW w:w="714" w:type="dxa"/>
            <w:shd w:val="clear" w:color="auto" w:fill="FFFFFF"/>
          </w:tcPr>
          <w:p w:rsidR="00FF0340" w:rsidRPr="006644A8" w:rsidRDefault="00FF0340" w:rsidP="00092E09">
            <w:pPr>
              <w:autoSpaceDE w:val="0"/>
              <w:autoSpaceDN w:val="0"/>
              <w:adjustRightInd w:val="0"/>
              <w:spacing w:after="0" w:line="320" w:lineRule="atLeast"/>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125</w:t>
            </w:r>
          </w:p>
        </w:tc>
        <w:tc>
          <w:tcPr>
            <w:tcW w:w="1226" w:type="dxa"/>
            <w:shd w:val="clear" w:color="auto" w:fill="FFFFFF"/>
          </w:tcPr>
          <w:p w:rsidR="00FF0340" w:rsidRPr="006644A8" w:rsidRDefault="00FF0340" w:rsidP="00092E09">
            <w:pPr>
              <w:autoSpaceDE w:val="0"/>
              <w:autoSpaceDN w:val="0"/>
              <w:adjustRightInd w:val="0"/>
              <w:spacing w:after="0" w:line="320" w:lineRule="atLeast"/>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8/32</w:t>
            </w:r>
          </w:p>
        </w:tc>
        <w:tc>
          <w:tcPr>
            <w:tcW w:w="1018" w:type="dxa"/>
            <w:shd w:val="clear" w:color="auto" w:fill="FFFFFF"/>
          </w:tcPr>
          <w:p w:rsidR="00FF0340" w:rsidRPr="006644A8" w:rsidRDefault="00FF0340" w:rsidP="00092E09">
            <w:pPr>
              <w:autoSpaceDE w:val="0"/>
              <w:autoSpaceDN w:val="0"/>
              <w:adjustRightInd w:val="0"/>
              <w:spacing w:after="0" w:line="320" w:lineRule="atLeast"/>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8</w:t>
            </w:r>
          </w:p>
        </w:tc>
        <w:tc>
          <w:tcPr>
            <w:tcW w:w="1019" w:type="dxa"/>
            <w:shd w:val="clear" w:color="auto" w:fill="FFFFFF"/>
          </w:tcPr>
          <w:p w:rsidR="00FF0340" w:rsidRPr="006644A8" w:rsidRDefault="00FF0340" w:rsidP="00092E09">
            <w:pPr>
              <w:autoSpaceDE w:val="0"/>
              <w:autoSpaceDN w:val="0"/>
              <w:adjustRightInd w:val="0"/>
              <w:spacing w:after="0" w:line="320" w:lineRule="atLeast"/>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28</w:t>
            </w:r>
          </w:p>
        </w:tc>
        <w:tc>
          <w:tcPr>
            <w:tcW w:w="1019" w:type="dxa"/>
            <w:shd w:val="clear" w:color="auto" w:fill="FFFFFF"/>
          </w:tcPr>
          <w:p w:rsidR="00FF0340" w:rsidRPr="006644A8" w:rsidRDefault="00FF0340" w:rsidP="00092E09">
            <w:pPr>
              <w:autoSpaceDE w:val="0"/>
              <w:autoSpaceDN w:val="0"/>
              <w:adjustRightInd w:val="0"/>
              <w:spacing w:after="0" w:line="320" w:lineRule="atLeast"/>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13,6</w:t>
            </w:r>
          </w:p>
        </w:tc>
        <w:tc>
          <w:tcPr>
            <w:tcW w:w="1058" w:type="dxa"/>
            <w:shd w:val="clear" w:color="auto" w:fill="FFFFFF"/>
          </w:tcPr>
          <w:p w:rsidR="00FF0340" w:rsidRPr="006644A8" w:rsidRDefault="00FF0340" w:rsidP="00092E09">
            <w:pPr>
              <w:autoSpaceDE w:val="0"/>
              <w:autoSpaceDN w:val="0"/>
              <w:adjustRightInd w:val="0"/>
              <w:spacing w:after="0" w:line="320" w:lineRule="atLeast"/>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3,8</w:t>
            </w:r>
          </w:p>
        </w:tc>
        <w:tc>
          <w:tcPr>
            <w:tcW w:w="1058" w:type="dxa"/>
            <w:shd w:val="clear" w:color="auto" w:fill="FFFFFF"/>
          </w:tcPr>
          <w:p w:rsidR="00FF0340" w:rsidRPr="006644A8" w:rsidRDefault="00FF0340" w:rsidP="00092E09">
            <w:pPr>
              <w:autoSpaceDE w:val="0"/>
              <w:autoSpaceDN w:val="0"/>
              <w:adjustRightInd w:val="0"/>
              <w:spacing w:after="0" w:line="320" w:lineRule="atLeast"/>
              <w:ind w:left="60" w:right="60"/>
              <w:jc w:val="center"/>
              <w:rPr>
                <w:rFonts w:ascii="Arial" w:hAnsi="Arial" w:cs="Arial"/>
                <w:color w:val="000000"/>
                <w:sz w:val="20"/>
                <w:szCs w:val="20"/>
                <w:lang w:val="en-US" w:eastAsia="es-CO"/>
              </w:rPr>
            </w:pPr>
            <w:r w:rsidRPr="006644A8">
              <w:rPr>
                <w:rFonts w:ascii="Arial" w:hAnsi="Arial" w:cs="Arial"/>
                <w:color w:val="000000"/>
                <w:sz w:val="20"/>
                <w:szCs w:val="20"/>
                <w:lang w:val="en-US" w:eastAsia="es-CO"/>
              </w:rPr>
              <w:t>27,8</w:t>
            </w:r>
          </w:p>
        </w:tc>
      </w:tr>
      <w:tr w:rsidR="00FF0340" w:rsidRPr="00DD1D80" w:rsidTr="00B47062">
        <w:trPr>
          <w:cantSplit/>
          <w:tblHeader/>
          <w:jc w:val="center"/>
        </w:trPr>
        <w:tc>
          <w:tcPr>
            <w:tcW w:w="2547" w:type="dxa"/>
            <w:shd w:val="clear" w:color="auto" w:fill="FFFFFF"/>
          </w:tcPr>
          <w:p w:rsidR="00FF0340" w:rsidRDefault="00FF0340" w:rsidP="00092E09">
            <w:pPr>
              <w:autoSpaceDE w:val="0"/>
              <w:autoSpaceDN w:val="0"/>
              <w:adjustRightInd w:val="0"/>
              <w:spacing w:after="0" w:line="240" w:lineRule="auto"/>
              <w:ind w:left="60" w:right="60"/>
              <w:jc w:val="center"/>
              <w:rPr>
                <w:rFonts w:ascii="Arial" w:hAnsi="Arial" w:cs="Arial"/>
                <w:color w:val="000000"/>
                <w:sz w:val="20"/>
                <w:szCs w:val="20"/>
                <w:lang w:eastAsia="es-CO"/>
              </w:rPr>
            </w:pPr>
            <w:r w:rsidRPr="006644A8">
              <w:rPr>
                <w:rFonts w:ascii="Arial" w:hAnsi="Arial" w:cs="Arial"/>
                <w:color w:val="000000"/>
                <w:sz w:val="20"/>
                <w:szCs w:val="20"/>
                <w:lang w:val="en-US" w:eastAsia="es-CO"/>
              </w:rPr>
              <w:t>N</w:t>
            </w:r>
            <w:r w:rsidRPr="00DD1D80">
              <w:rPr>
                <w:rFonts w:ascii="Arial" w:hAnsi="Arial" w:cs="Arial"/>
                <w:color w:val="000000"/>
                <w:sz w:val="20"/>
                <w:szCs w:val="20"/>
                <w:lang w:eastAsia="es-CO"/>
              </w:rPr>
              <w:t>utri</w:t>
            </w:r>
            <w:r w:rsidR="003B6B83">
              <w:rPr>
                <w:rFonts w:ascii="Arial" w:hAnsi="Arial" w:cs="Arial"/>
                <w:color w:val="000000"/>
                <w:sz w:val="20"/>
                <w:szCs w:val="20"/>
                <w:lang w:eastAsia="es-CO"/>
              </w:rPr>
              <w:t>tion</w:t>
            </w:r>
          </w:p>
          <w:p w:rsidR="00FF0340" w:rsidRPr="00DD1D80" w:rsidRDefault="00FF0340" w:rsidP="00092E09">
            <w:pPr>
              <w:autoSpaceDE w:val="0"/>
              <w:autoSpaceDN w:val="0"/>
              <w:adjustRightInd w:val="0"/>
              <w:spacing w:after="0" w:line="240" w:lineRule="auto"/>
              <w:ind w:left="60" w:right="60"/>
              <w:jc w:val="center"/>
              <w:rPr>
                <w:rFonts w:ascii="Arial" w:hAnsi="Arial" w:cs="Arial"/>
                <w:color w:val="000000"/>
                <w:sz w:val="20"/>
                <w:szCs w:val="20"/>
                <w:lang w:eastAsia="es-CO"/>
              </w:rPr>
            </w:pPr>
          </w:p>
        </w:tc>
        <w:tc>
          <w:tcPr>
            <w:tcW w:w="714"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sidRPr="00DD1D80">
              <w:rPr>
                <w:rFonts w:ascii="Arial" w:hAnsi="Arial" w:cs="Arial"/>
                <w:color w:val="000000"/>
                <w:sz w:val="20"/>
                <w:szCs w:val="20"/>
                <w:lang w:eastAsia="es-CO"/>
              </w:rPr>
              <w:t>125</w:t>
            </w:r>
          </w:p>
        </w:tc>
        <w:tc>
          <w:tcPr>
            <w:tcW w:w="1226"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sidRPr="00DD1D80">
              <w:rPr>
                <w:rFonts w:ascii="Arial" w:hAnsi="Arial" w:cs="Arial"/>
                <w:color w:val="000000"/>
                <w:sz w:val="20"/>
                <w:szCs w:val="20"/>
                <w:lang w:eastAsia="es-CO"/>
              </w:rPr>
              <w:t>9/36</w:t>
            </w:r>
          </w:p>
        </w:tc>
        <w:tc>
          <w:tcPr>
            <w:tcW w:w="1018"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13</w:t>
            </w:r>
          </w:p>
        </w:tc>
        <w:tc>
          <w:tcPr>
            <w:tcW w:w="1019"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28</w:t>
            </w:r>
          </w:p>
        </w:tc>
        <w:tc>
          <w:tcPr>
            <w:tcW w:w="1019"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20,2</w:t>
            </w:r>
          </w:p>
        </w:tc>
        <w:tc>
          <w:tcPr>
            <w:tcW w:w="1058"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2,6</w:t>
            </w:r>
          </w:p>
        </w:tc>
        <w:tc>
          <w:tcPr>
            <w:tcW w:w="1058"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13,0</w:t>
            </w:r>
          </w:p>
        </w:tc>
      </w:tr>
      <w:tr w:rsidR="00FF0340" w:rsidRPr="00DD1D80" w:rsidTr="00B47062">
        <w:trPr>
          <w:cantSplit/>
          <w:tblHeader/>
          <w:jc w:val="center"/>
        </w:trPr>
        <w:tc>
          <w:tcPr>
            <w:tcW w:w="2547" w:type="dxa"/>
            <w:shd w:val="clear" w:color="auto" w:fill="FFFFFF"/>
          </w:tcPr>
          <w:p w:rsidR="00FF0340" w:rsidRDefault="003B6B83" w:rsidP="00092E09">
            <w:pPr>
              <w:autoSpaceDE w:val="0"/>
              <w:autoSpaceDN w:val="0"/>
              <w:adjustRightInd w:val="0"/>
              <w:spacing w:after="0" w:line="240" w:lineRule="auto"/>
              <w:ind w:left="60" w:right="60"/>
              <w:jc w:val="center"/>
              <w:rPr>
                <w:rFonts w:ascii="Arial" w:hAnsi="Arial" w:cs="Arial"/>
                <w:color w:val="000000"/>
                <w:sz w:val="20"/>
                <w:szCs w:val="20"/>
                <w:lang w:eastAsia="es-CO"/>
              </w:rPr>
            </w:pPr>
            <w:r>
              <w:rPr>
                <w:rFonts w:ascii="Arial" w:hAnsi="Arial" w:cs="Arial"/>
                <w:color w:val="000000"/>
                <w:sz w:val="20"/>
                <w:szCs w:val="20"/>
                <w:lang w:eastAsia="es-CO"/>
              </w:rPr>
              <w:t>Spiritual Growth</w:t>
            </w:r>
          </w:p>
          <w:p w:rsidR="00FF0340" w:rsidRPr="00DD1D80" w:rsidRDefault="00FF0340" w:rsidP="00092E09">
            <w:pPr>
              <w:autoSpaceDE w:val="0"/>
              <w:autoSpaceDN w:val="0"/>
              <w:adjustRightInd w:val="0"/>
              <w:spacing w:after="0" w:line="240" w:lineRule="auto"/>
              <w:ind w:left="60" w:right="60"/>
              <w:jc w:val="center"/>
              <w:rPr>
                <w:rFonts w:ascii="Arial" w:hAnsi="Arial" w:cs="Arial"/>
                <w:color w:val="000000"/>
                <w:sz w:val="20"/>
                <w:szCs w:val="20"/>
                <w:lang w:eastAsia="es-CO"/>
              </w:rPr>
            </w:pPr>
          </w:p>
        </w:tc>
        <w:tc>
          <w:tcPr>
            <w:tcW w:w="714"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sidRPr="00DD1D80">
              <w:rPr>
                <w:rFonts w:ascii="Arial" w:hAnsi="Arial" w:cs="Arial"/>
                <w:color w:val="000000"/>
                <w:sz w:val="20"/>
                <w:szCs w:val="20"/>
                <w:lang w:eastAsia="es-CO"/>
              </w:rPr>
              <w:t>125</w:t>
            </w:r>
          </w:p>
        </w:tc>
        <w:tc>
          <w:tcPr>
            <w:tcW w:w="1226"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sidRPr="00DD1D80">
              <w:rPr>
                <w:rFonts w:ascii="Arial" w:hAnsi="Arial" w:cs="Arial"/>
                <w:color w:val="000000"/>
                <w:sz w:val="20"/>
                <w:szCs w:val="20"/>
                <w:lang w:eastAsia="es-CO"/>
              </w:rPr>
              <w:t>9/36</w:t>
            </w:r>
          </w:p>
        </w:tc>
        <w:tc>
          <w:tcPr>
            <w:tcW w:w="1018"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12</w:t>
            </w:r>
          </w:p>
        </w:tc>
        <w:tc>
          <w:tcPr>
            <w:tcW w:w="1019"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36</w:t>
            </w:r>
          </w:p>
        </w:tc>
        <w:tc>
          <w:tcPr>
            <w:tcW w:w="1019"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27,4</w:t>
            </w:r>
          </w:p>
        </w:tc>
        <w:tc>
          <w:tcPr>
            <w:tcW w:w="1058"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5,8</w:t>
            </w:r>
          </w:p>
        </w:tc>
        <w:tc>
          <w:tcPr>
            <w:tcW w:w="1058"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21,0</w:t>
            </w:r>
          </w:p>
        </w:tc>
      </w:tr>
      <w:tr w:rsidR="00FF0340" w:rsidRPr="00DD1D80" w:rsidTr="00B47062">
        <w:trPr>
          <w:cantSplit/>
          <w:tblHeader/>
          <w:jc w:val="center"/>
        </w:trPr>
        <w:tc>
          <w:tcPr>
            <w:tcW w:w="2547" w:type="dxa"/>
            <w:shd w:val="clear" w:color="auto" w:fill="FFFFFF"/>
          </w:tcPr>
          <w:p w:rsidR="00FF0340" w:rsidRDefault="003B6B83" w:rsidP="00092E09">
            <w:pPr>
              <w:autoSpaceDE w:val="0"/>
              <w:autoSpaceDN w:val="0"/>
              <w:adjustRightInd w:val="0"/>
              <w:spacing w:after="0" w:line="240" w:lineRule="auto"/>
              <w:ind w:left="60" w:right="60"/>
              <w:jc w:val="center"/>
              <w:rPr>
                <w:rFonts w:ascii="Arial" w:hAnsi="Arial" w:cs="Arial"/>
                <w:color w:val="000000"/>
                <w:sz w:val="20"/>
                <w:szCs w:val="20"/>
                <w:lang w:eastAsia="es-CO"/>
              </w:rPr>
            </w:pPr>
            <w:r>
              <w:rPr>
                <w:rFonts w:ascii="Arial" w:hAnsi="Arial" w:cs="Arial"/>
                <w:color w:val="000000"/>
                <w:sz w:val="20"/>
                <w:szCs w:val="20"/>
                <w:lang w:eastAsia="es-CO"/>
              </w:rPr>
              <w:t xml:space="preserve">Interpersonal Relationships </w:t>
            </w:r>
          </w:p>
          <w:p w:rsidR="00FF0340" w:rsidRPr="00DD1D80" w:rsidRDefault="00FF0340" w:rsidP="00092E09">
            <w:pPr>
              <w:autoSpaceDE w:val="0"/>
              <w:autoSpaceDN w:val="0"/>
              <w:adjustRightInd w:val="0"/>
              <w:spacing w:after="0" w:line="240" w:lineRule="auto"/>
              <w:ind w:left="60" w:right="60"/>
              <w:jc w:val="center"/>
              <w:rPr>
                <w:rFonts w:ascii="Arial" w:hAnsi="Arial" w:cs="Arial"/>
                <w:color w:val="000000"/>
                <w:sz w:val="20"/>
                <w:szCs w:val="20"/>
                <w:lang w:eastAsia="es-CO"/>
              </w:rPr>
            </w:pPr>
          </w:p>
        </w:tc>
        <w:tc>
          <w:tcPr>
            <w:tcW w:w="714"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sidRPr="00DD1D80">
              <w:rPr>
                <w:rFonts w:ascii="Arial" w:hAnsi="Arial" w:cs="Arial"/>
                <w:color w:val="000000"/>
                <w:sz w:val="20"/>
                <w:szCs w:val="20"/>
                <w:lang w:eastAsia="es-CO"/>
              </w:rPr>
              <w:t>125</w:t>
            </w:r>
          </w:p>
        </w:tc>
        <w:tc>
          <w:tcPr>
            <w:tcW w:w="1226"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9/36</w:t>
            </w:r>
          </w:p>
        </w:tc>
        <w:tc>
          <w:tcPr>
            <w:tcW w:w="1018"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13</w:t>
            </w:r>
          </w:p>
        </w:tc>
        <w:tc>
          <w:tcPr>
            <w:tcW w:w="1019"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34</w:t>
            </w:r>
          </w:p>
        </w:tc>
        <w:tc>
          <w:tcPr>
            <w:tcW w:w="1019"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25,0</w:t>
            </w:r>
          </w:p>
        </w:tc>
        <w:tc>
          <w:tcPr>
            <w:tcW w:w="1058"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4,9</w:t>
            </w:r>
          </w:p>
        </w:tc>
        <w:tc>
          <w:tcPr>
            <w:tcW w:w="1058" w:type="dxa"/>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19,7</w:t>
            </w:r>
          </w:p>
        </w:tc>
      </w:tr>
      <w:tr w:rsidR="00FF0340" w:rsidRPr="00DD1D80" w:rsidTr="00B47062">
        <w:trPr>
          <w:cantSplit/>
          <w:tblHeader/>
          <w:jc w:val="center"/>
        </w:trPr>
        <w:tc>
          <w:tcPr>
            <w:tcW w:w="2547" w:type="dxa"/>
            <w:tcBorders>
              <w:bottom w:val="single" w:sz="4" w:space="0" w:color="auto"/>
            </w:tcBorders>
            <w:shd w:val="clear" w:color="auto" w:fill="FFFFFF"/>
          </w:tcPr>
          <w:p w:rsidR="00FF0340" w:rsidRDefault="006644A8" w:rsidP="00092E09">
            <w:pPr>
              <w:autoSpaceDE w:val="0"/>
              <w:autoSpaceDN w:val="0"/>
              <w:adjustRightInd w:val="0"/>
              <w:spacing w:after="0" w:line="240" w:lineRule="auto"/>
              <w:ind w:left="60" w:right="60"/>
              <w:jc w:val="center"/>
              <w:rPr>
                <w:rFonts w:ascii="Arial" w:hAnsi="Arial" w:cs="Arial"/>
                <w:color w:val="000000"/>
                <w:sz w:val="20"/>
                <w:szCs w:val="20"/>
                <w:lang w:eastAsia="es-CO"/>
              </w:rPr>
            </w:pPr>
            <w:r>
              <w:rPr>
                <w:rFonts w:ascii="Arial" w:hAnsi="Arial" w:cs="Arial"/>
                <w:color w:val="000000"/>
                <w:sz w:val="20"/>
                <w:szCs w:val="20"/>
                <w:lang w:eastAsia="es-CO"/>
              </w:rPr>
              <w:t xml:space="preserve">Stress Management </w:t>
            </w:r>
          </w:p>
          <w:p w:rsidR="00FF0340" w:rsidRPr="00DD1D80" w:rsidRDefault="00FF0340" w:rsidP="00092E09">
            <w:pPr>
              <w:autoSpaceDE w:val="0"/>
              <w:autoSpaceDN w:val="0"/>
              <w:adjustRightInd w:val="0"/>
              <w:spacing w:after="0" w:line="240" w:lineRule="auto"/>
              <w:ind w:left="60" w:right="60"/>
              <w:jc w:val="center"/>
              <w:rPr>
                <w:rFonts w:ascii="Arial" w:hAnsi="Arial" w:cs="Arial"/>
                <w:color w:val="000000"/>
                <w:sz w:val="20"/>
                <w:szCs w:val="20"/>
                <w:lang w:eastAsia="es-CO"/>
              </w:rPr>
            </w:pPr>
          </w:p>
        </w:tc>
        <w:tc>
          <w:tcPr>
            <w:tcW w:w="714" w:type="dxa"/>
            <w:tcBorders>
              <w:bottom w:val="single" w:sz="4" w:space="0" w:color="auto"/>
            </w:tcBorders>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sidRPr="00DD1D80">
              <w:rPr>
                <w:rFonts w:ascii="Arial" w:hAnsi="Arial" w:cs="Arial"/>
                <w:color w:val="000000"/>
                <w:sz w:val="20"/>
                <w:szCs w:val="20"/>
                <w:lang w:eastAsia="es-CO"/>
              </w:rPr>
              <w:t>125</w:t>
            </w:r>
          </w:p>
        </w:tc>
        <w:tc>
          <w:tcPr>
            <w:tcW w:w="1226" w:type="dxa"/>
            <w:tcBorders>
              <w:bottom w:val="single" w:sz="4" w:space="0" w:color="auto"/>
            </w:tcBorders>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sidRPr="00DD1D80">
              <w:rPr>
                <w:rFonts w:ascii="Arial" w:hAnsi="Arial" w:cs="Arial"/>
                <w:color w:val="000000"/>
                <w:sz w:val="20"/>
                <w:szCs w:val="20"/>
                <w:lang w:eastAsia="es-CO"/>
              </w:rPr>
              <w:t>8/32</w:t>
            </w:r>
          </w:p>
        </w:tc>
        <w:tc>
          <w:tcPr>
            <w:tcW w:w="1018" w:type="dxa"/>
            <w:tcBorders>
              <w:bottom w:val="single" w:sz="4" w:space="0" w:color="auto"/>
            </w:tcBorders>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11</w:t>
            </w:r>
          </w:p>
        </w:tc>
        <w:tc>
          <w:tcPr>
            <w:tcW w:w="1019" w:type="dxa"/>
            <w:tcBorders>
              <w:bottom w:val="single" w:sz="4" w:space="0" w:color="auto"/>
            </w:tcBorders>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31</w:t>
            </w:r>
          </w:p>
        </w:tc>
        <w:tc>
          <w:tcPr>
            <w:tcW w:w="1019" w:type="dxa"/>
            <w:tcBorders>
              <w:bottom w:val="single" w:sz="4" w:space="0" w:color="auto"/>
            </w:tcBorders>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20,5</w:t>
            </w:r>
          </w:p>
        </w:tc>
        <w:tc>
          <w:tcPr>
            <w:tcW w:w="1058" w:type="dxa"/>
            <w:tcBorders>
              <w:bottom w:val="single" w:sz="4" w:space="0" w:color="auto"/>
            </w:tcBorders>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3,8</w:t>
            </w:r>
          </w:p>
        </w:tc>
        <w:tc>
          <w:tcPr>
            <w:tcW w:w="1058" w:type="dxa"/>
            <w:tcBorders>
              <w:bottom w:val="single" w:sz="4" w:space="0" w:color="auto"/>
            </w:tcBorders>
            <w:shd w:val="clear" w:color="auto" w:fill="FFFFFF"/>
          </w:tcPr>
          <w:p w:rsidR="00FF0340" w:rsidRPr="00DD1D80" w:rsidRDefault="00FF0340" w:rsidP="00092E09">
            <w:pPr>
              <w:autoSpaceDE w:val="0"/>
              <w:autoSpaceDN w:val="0"/>
              <w:adjustRightInd w:val="0"/>
              <w:spacing w:after="0" w:line="320" w:lineRule="atLeast"/>
              <w:ind w:left="60" w:right="60"/>
              <w:jc w:val="center"/>
              <w:rPr>
                <w:rFonts w:ascii="Arial" w:hAnsi="Arial" w:cs="Arial"/>
                <w:color w:val="000000"/>
                <w:sz w:val="20"/>
                <w:szCs w:val="20"/>
                <w:lang w:eastAsia="es-CO"/>
              </w:rPr>
            </w:pPr>
            <w:r>
              <w:rPr>
                <w:rFonts w:ascii="Arial" w:hAnsi="Arial" w:cs="Arial"/>
                <w:color w:val="000000"/>
                <w:sz w:val="20"/>
                <w:szCs w:val="20"/>
                <w:lang w:eastAsia="es-CO"/>
              </w:rPr>
              <w:t>18,7</w:t>
            </w:r>
          </w:p>
        </w:tc>
      </w:tr>
    </w:tbl>
    <w:p w:rsidR="00FF0340" w:rsidRPr="00B47062" w:rsidRDefault="00B47062" w:rsidP="00FF0340">
      <w:pPr>
        <w:spacing w:after="0" w:line="240" w:lineRule="auto"/>
        <w:jc w:val="both"/>
        <w:rPr>
          <w:rFonts w:ascii="Arial" w:hAnsi="Arial" w:cs="Arial"/>
          <w:i/>
          <w:sz w:val="20"/>
          <w:szCs w:val="20"/>
          <w:lang w:val="en-US"/>
        </w:rPr>
      </w:pPr>
      <w:r w:rsidRPr="00B47062">
        <w:rPr>
          <w:rFonts w:ascii="Arial" w:hAnsi="Arial" w:cs="Arial"/>
          <w:i/>
          <w:sz w:val="20"/>
          <w:szCs w:val="20"/>
          <w:lang w:val="en-US"/>
        </w:rPr>
        <w:t>Th</w:t>
      </w:r>
      <w:r w:rsidR="006644A8" w:rsidRPr="00B47062">
        <w:rPr>
          <w:rFonts w:ascii="Arial" w:hAnsi="Arial" w:cs="Arial"/>
          <w:i/>
          <w:sz w:val="20"/>
          <w:szCs w:val="20"/>
          <w:lang w:val="en-US"/>
        </w:rPr>
        <w:t>e</w:t>
      </w:r>
      <w:r w:rsidRPr="00B47062">
        <w:rPr>
          <w:rFonts w:ascii="Arial" w:hAnsi="Arial" w:cs="Arial"/>
          <w:i/>
          <w:sz w:val="20"/>
          <w:szCs w:val="20"/>
          <w:lang w:val="en-US"/>
        </w:rPr>
        <w:t>o</w:t>
      </w:r>
      <w:r w:rsidR="006644A8" w:rsidRPr="00B47062">
        <w:rPr>
          <w:rFonts w:ascii="Arial" w:hAnsi="Arial" w:cs="Arial"/>
          <w:i/>
          <w:sz w:val="20"/>
          <w:szCs w:val="20"/>
          <w:lang w:val="en-US"/>
        </w:rPr>
        <w:t xml:space="preserve">retical </w:t>
      </w:r>
      <w:r w:rsidR="00FF0340" w:rsidRPr="00B47062">
        <w:rPr>
          <w:rFonts w:ascii="Arial" w:hAnsi="Arial" w:cs="Arial"/>
          <w:i/>
          <w:sz w:val="20"/>
          <w:szCs w:val="20"/>
          <w:lang w:val="en-US"/>
        </w:rPr>
        <w:t xml:space="preserve">Mí/Max= </w:t>
      </w:r>
      <w:r w:rsidRPr="00B47062">
        <w:rPr>
          <w:rFonts w:ascii="Arial" w:hAnsi="Arial" w:cs="Arial"/>
          <w:i/>
          <w:sz w:val="20"/>
          <w:szCs w:val="20"/>
          <w:lang w:val="en-US"/>
        </w:rPr>
        <w:t xml:space="preserve">possible </w:t>
      </w:r>
      <w:r>
        <w:rPr>
          <w:rFonts w:ascii="Arial" w:hAnsi="Arial" w:cs="Arial"/>
          <w:i/>
          <w:sz w:val="20"/>
          <w:szCs w:val="20"/>
          <w:lang w:val="en-US"/>
        </w:rPr>
        <w:t>mi</w:t>
      </w:r>
      <w:r w:rsidRPr="00B47062">
        <w:rPr>
          <w:rFonts w:ascii="Arial" w:hAnsi="Arial" w:cs="Arial"/>
          <w:i/>
          <w:sz w:val="20"/>
          <w:szCs w:val="20"/>
          <w:lang w:val="en-US"/>
        </w:rPr>
        <w:t xml:space="preserve">nimum and </w:t>
      </w:r>
      <w:r>
        <w:rPr>
          <w:rFonts w:ascii="Arial" w:hAnsi="Arial" w:cs="Arial"/>
          <w:i/>
          <w:sz w:val="20"/>
          <w:szCs w:val="20"/>
          <w:lang w:val="en-US"/>
        </w:rPr>
        <w:t>ma</w:t>
      </w:r>
      <w:r w:rsidRPr="00B47062">
        <w:rPr>
          <w:rFonts w:ascii="Arial" w:hAnsi="Arial" w:cs="Arial"/>
          <w:i/>
          <w:sz w:val="20"/>
          <w:szCs w:val="20"/>
          <w:lang w:val="en-US"/>
        </w:rPr>
        <w:t xml:space="preserve">ximum theoretical </w:t>
      </w:r>
      <w:r w:rsidRPr="00B47062">
        <w:rPr>
          <w:rFonts w:ascii="Arial" w:eastAsia="BellCentennialBT-Address" w:hAnsi="Arial" w:cs="Arial"/>
          <w:i/>
          <w:sz w:val="20"/>
          <w:szCs w:val="20"/>
          <w:lang w:val="en-US"/>
        </w:rPr>
        <w:t>valu</w:t>
      </w:r>
      <w:r w:rsidR="00FF0340" w:rsidRPr="00B47062">
        <w:rPr>
          <w:rFonts w:ascii="Arial" w:eastAsia="BellCentennialBT-Address" w:hAnsi="Arial" w:cs="Arial"/>
          <w:i/>
          <w:sz w:val="20"/>
          <w:szCs w:val="20"/>
          <w:lang w:val="en-US"/>
        </w:rPr>
        <w:t xml:space="preserve">es </w:t>
      </w:r>
      <w:r>
        <w:rPr>
          <w:rFonts w:ascii="Arial" w:eastAsia="BellCentennialBT-Address" w:hAnsi="Arial" w:cs="Arial"/>
          <w:i/>
          <w:sz w:val="20"/>
          <w:szCs w:val="20"/>
          <w:lang w:val="en-US"/>
        </w:rPr>
        <w:t>in the</w:t>
      </w:r>
      <w:r w:rsidR="00FF0340" w:rsidRPr="00B47062">
        <w:rPr>
          <w:rFonts w:ascii="Arial" w:eastAsia="BellCentennialBT-Address" w:hAnsi="Arial" w:cs="Arial"/>
          <w:i/>
          <w:sz w:val="20"/>
          <w:szCs w:val="20"/>
          <w:lang w:val="en-US"/>
        </w:rPr>
        <w:t xml:space="preserve"> </w:t>
      </w:r>
      <w:r w:rsidRPr="00E331FC">
        <w:rPr>
          <w:rFonts w:ascii="Arial" w:hAnsi="Arial" w:cs="Arial"/>
          <w:i/>
          <w:sz w:val="20"/>
          <w:szCs w:val="24"/>
          <w:lang w:val="en-US"/>
        </w:rPr>
        <w:t>HPLP II scale</w:t>
      </w:r>
      <w:r w:rsidR="00FF0340" w:rsidRPr="00B47062">
        <w:rPr>
          <w:rFonts w:ascii="Arial" w:eastAsia="BellCentennialBT-Address" w:hAnsi="Arial" w:cs="Arial"/>
          <w:i/>
          <w:sz w:val="20"/>
          <w:szCs w:val="20"/>
          <w:lang w:val="en-US"/>
        </w:rPr>
        <w:t>.</w:t>
      </w:r>
    </w:p>
    <w:p w:rsidR="00FF0340" w:rsidRPr="00B47062" w:rsidRDefault="00B47062" w:rsidP="00FF0340">
      <w:pPr>
        <w:spacing w:after="0" w:line="240" w:lineRule="auto"/>
        <w:jc w:val="both"/>
        <w:rPr>
          <w:rFonts w:ascii="Arial" w:hAnsi="Arial" w:cs="Arial"/>
          <w:i/>
          <w:sz w:val="20"/>
          <w:szCs w:val="20"/>
          <w:lang w:val="en-US"/>
        </w:rPr>
      </w:pPr>
      <w:r w:rsidRPr="0044653F">
        <w:rPr>
          <w:rFonts w:ascii="Arial" w:hAnsi="Arial" w:cs="Arial"/>
          <w:i/>
          <w:sz w:val="20"/>
          <w:szCs w:val="20"/>
          <w:lang w:val="en-US"/>
        </w:rPr>
        <w:t xml:space="preserve">Source: </w:t>
      </w:r>
      <w:r>
        <w:rPr>
          <w:rFonts w:ascii="Arial" w:hAnsi="Arial" w:cs="Arial"/>
          <w:i/>
          <w:sz w:val="20"/>
          <w:szCs w:val="20"/>
          <w:lang w:val="en-US"/>
        </w:rPr>
        <w:t>elaborat</w:t>
      </w:r>
      <w:r w:rsidRPr="0044653F">
        <w:rPr>
          <w:rFonts w:ascii="Arial" w:hAnsi="Arial" w:cs="Arial"/>
          <w:i/>
          <w:sz w:val="20"/>
          <w:szCs w:val="20"/>
          <w:lang w:val="en-US"/>
        </w:rPr>
        <w:t>ed by the author</w:t>
      </w:r>
      <w:r w:rsidR="00FF0340" w:rsidRPr="00B47062">
        <w:rPr>
          <w:rFonts w:ascii="Arial" w:hAnsi="Arial" w:cs="Arial"/>
          <w:i/>
          <w:sz w:val="20"/>
          <w:szCs w:val="20"/>
          <w:lang w:val="en-US"/>
        </w:rPr>
        <w:t>.</w:t>
      </w:r>
    </w:p>
    <w:p w:rsidR="00FF0340" w:rsidRPr="00EB1181" w:rsidRDefault="00FF0340" w:rsidP="00076C3B">
      <w:pPr>
        <w:pStyle w:val="Sinespaciado"/>
        <w:rPr>
          <w:lang w:val="en-US"/>
        </w:rPr>
      </w:pPr>
    </w:p>
    <w:p w:rsidR="000324C0" w:rsidRDefault="000324C0" w:rsidP="00FF0340">
      <w:pPr>
        <w:jc w:val="both"/>
        <w:rPr>
          <w:rFonts w:ascii="Arial" w:hAnsi="Arial" w:cs="Arial"/>
          <w:b/>
          <w:sz w:val="24"/>
          <w:szCs w:val="24"/>
          <w:lang w:val="en-US"/>
        </w:rPr>
      </w:pPr>
    </w:p>
    <w:p w:rsidR="00D822B3" w:rsidRPr="00B47062" w:rsidRDefault="00F10610" w:rsidP="00FF0340">
      <w:pPr>
        <w:jc w:val="both"/>
        <w:rPr>
          <w:rFonts w:ascii="Arial" w:hAnsi="Arial" w:cs="Arial"/>
          <w:b/>
          <w:sz w:val="24"/>
          <w:szCs w:val="24"/>
          <w:lang w:val="en-US"/>
        </w:rPr>
      </w:pPr>
      <w:r>
        <w:rPr>
          <w:rFonts w:ascii="Arial" w:hAnsi="Arial" w:cs="Arial"/>
          <w:b/>
          <w:sz w:val="24"/>
          <w:szCs w:val="24"/>
          <w:lang w:val="en-US"/>
        </w:rPr>
        <w:t>Physical Depende</w:t>
      </w:r>
      <w:r w:rsidR="00453F80">
        <w:rPr>
          <w:rFonts w:ascii="Arial" w:hAnsi="Arial" w:cs="Arial"/>
          <w:b/>
          <w:sz w:val="24"/>
          <w:szCs w:val="24"/>
          <w:lang w:val="en-US"/>
        </w:rPr>
        <w:t>nce</w:t>
      </w:r>
    </w:p>
    <w:p w:rsidR="00453F80" w:rsidRPr="00045A71" w:rsidRDefault="00453F80" w:rsidP="00FF0340">
      <w:pPr>
        <w:spacing w:line="240" w:lineRule="auto"/>
        <w:jc w:val="both"/>
        <w:rPr>
          <w:rFonts w:ascii="Arial" w:hAnsi="Arial" w:cs="Arial"/>
          <w:sz w:val="24"/>
          <w:szCs w:val="24"/>
          <w:lang w:val="en-US"/>
        </w:rPr>
      </w:pPr>
      <w:r w:rsidRPr="00453F80">
        <w:rPr>
          <w:rFonts w:ascii="Arial" w:hAnsi="Arial" w:cs="Arial"/>
          <w:sz w:val="24"/>
          <w:szCs w:val="24"/>
          <w:lang w:val="en-US"/>
        </w:rPr>
        <w:t xml:space="preserve">In regard to the variable related </w:t>
      </w:r>
      <w:r>
        <w:rPr>
          <w:rFonts w:ascii="Arial" w:hAnsi="Arial" w:cs="Arial"/>
          <w:sz w:val="24"/>
          <w:szCs w:val="24"/>
          <w:lang w:val="en-US"/>
        </w:rPr>
        <w:t xml:space="preserve">to the degree or level of physical dependence obtained by means of the Barthel Index, </w:t>
      </w:r>
      <w:r w:rsidR="00045A71">
        <w:rPr>
          <w:rFonts w:ascii="Arial" w:hAnsi="Arial" w:cs="Arial"/>
          <w:sz w:val="24"/>
          <w:szCs w:val="24"/>
          <w:lang w:val="en-US"/>
        </w:rPr>
        <w:t xml:space="preserve">the results show that </w:t>
      </w:r>
      <w:r w:rsidR="00045A71" w:rsidRPr="00045A71">
        <w:rPr>
          <w:rFonts w:ascii="Arial" w:hAnsi="Arial" w:cs="Arial"/>
          <w:sz w:val="24"/>
          <w:szCs w:val="24"/>
          <w:lang w:val="en-US"/>
        </w:rPr>
        <w:t>92,8%</w:t>
      </w:r>
      <w:r w:rsidR="00045A71">
        <w:rPr>
          <w:rFonts w:ascii="Arial" w:hAnsi="Arial" w:cs="Arial"/>
          <w:sz w:val="24"/>
          <w:szCs w:val="24"/>
          <w:lang w:val="en-US"/>
        </w:rPr>
        <w:t xml:space="preserve"> were independent for the performance of the </w:t>
      </w:r>
      <w:r w:rsidR="00045A71" w:rsidRPr="005C0D0F">
        <w:rPr>
          <w:rFonts w:ascii="Arial" w:hAnsi="Arial" w:cs="Arial"/>
          <w:sz w:val="24"/>
          <w:szCs w:val="24"/>
          <w:lang w:val="en-US"/>
        </w:rPr>
        <w:t>IADLs</w:t>
      </w:r>
      <w:r w:rsidR="00045A71">
        <w:rPr>
          <w:rFonts w:ascii="Arial" w:hAnsi="Arial" w:cs="Arial"/>
          <w:sz w:val="24"/>
          <w:szCs w:val="24"/>
          <w:lang w:val="en-US"/>
        </w:rPr>
        <w:t>. The minimum data obtained was 20 points and the maximum 100 points.</w:t>
      </w:r>
    </w:p>
    <w:p w:rsidR="00045A71" w:rsidRDefault="00045A71" w:rsidP="00FF0340">
      <w:pPr>
        <w:jc w:val="both"/>
        <w:rPr>
          <w:rFonts w:ascii="Arial" w:hAnsi="Arial" w:cs="Arial"/>
          <w:noProof/>
          <w:sz w:val="24"/>
          <w:szCs w:val="24"/>
          <w:lang w:val="en-US" w:eastAsia="es-CO"/>
        </w:rPr>
      </w:pPr>
      <w:r>
        <w:rPr>
          <w:rFonts w:ascii="Arial" w:hAnsi="Arial" w:cs="Arial"/>
          <w:noProof/>
          <w:sz w:val="24"/>
          <w:szCs w:val="24"/>
          <w:lang w:val="en-US" w:eastAsia="es-CO"/>
        </w:rPr>
        <w:t>Concerning s</w:t>
      </w:r>
      <w:r w:rsidRPr="00045A71">
        <w:rPr>
          <w:rFonts w:ascii="Arial" w:hAnsi="Arial" w:cs="Arial"/>
          <w:noProof/>
          <w:sz w:val="24"/>
          <w:szCs w:val="24"/>
          <w:lang w:val="en-US" w:eastAsia="es-CO"/>
        </w:rPr>
        <w:t xml:space="preserve">elf-care </w:t>
      </w:r>
      <w:r>
        <w:rPr>
          <w:rFonts w:ascii="Arial" w:hAnsi="Arial" w:cs="Arial"/>
          <w:noProof/>
          <w:sz w:val="24"/>
          <w:szCs w:val="24"/>
          <w:lang w:val="en-US" w:eastAsia="es-CO"/>
        </w:rPr>
        <w:t>basic activities, the results show that the best a</w:t>
      </w:r>
      <w:r w:rsidR="00C33FF0">
        <w:rPr>
          <w:rFonts w:ascii="Arial" w:hAnsi="Arial" w:cs="Arial"/>
          <w:noProof/>
          <w:sz w:val="24"/>
          <w:szCs w:val="24"/>
          <w:lang w:val="en-US" w:eastAsia="es-CO"/>
        </w:rPr>
        <w:t>verages were obtained regarding</w:t>
      </w:r>
      <w:r>
        <w:rPr>
          <w:rFonts w:ascii="Arial" w:hAnsi="Arial" w:cs="Arial"/>
          <w:noProof/>
          <w:sz w:val="24"/>
          <w:szCs w:val="24"/>
          <w:lang w:val="en-US" w:eastAsia="es-CO"/>
        </w:rPr>
        <w:t xml:space="preserve"> the capacity to ingest food, </w:t>
      </w:r>
      <w:r w:rsidR="000E7805">
        <w:rPr>
          <w:rFonts w:ascii="Arial" w:hAnsi="Arial" w:cs="Arial"/>
          <w:noProof/>
          <w:sz w:val="24"/>
          <w:szCs w:val="24"/>
          <w:lang w:val="en-US" w:eastAsia="es-CO"/>
        </w:rPr>
        <w:t xml:space="preserve">get dressed, and go to the bathroom without any help. </w:t>
      </w:r>
      <w:r w:rsidR="007555C1">
        <w:rPr>
          <w:rFonts w:ascii="Arial" w:hAnsi="Arial" w:cs="Arial"/>
          <w:noProof/>
          <w:sz w:val="24"/>
          <w:szCs w:val="24"/>
          <w:lang w:val="en-US" w:eastAsia="es-CO"/>
        </w:rPr>
        <w:t xml:space="preserve">In contrast, the </w:t>
      </w:r>
      <w:r w:rsidR="00F655D6">
        <w:rPr>
          <w:rFonts w:ascii="Arial" w:hAnsi="Arial" w:cs="Arial"/>
          <w:noProof/>
          <w:sz w:val="24"/>
          <w:szCs w:val="24"/>
          <w:lang w:val="en-US" w:eastAsia="es-CO"/>
        </w:rPr>
        <w:t>population</w:t>
      </w:r>
      <w:r w:rsidR="00C33FF0">
        <w:rPr>
          <w:rFonts w:ascii="Arial" w:hAnsi="Arial" w:cs="Arial"/>
          <w:noProof/>
          <w:sz w:val="24"/>
          <w:szCs w:val="24"/>
          <w:lang w:val="en-US" w:eastAsia="es-CO"/>
        </w:rPr>
        <w:t xml:space="preserve"> with a higher degree of depende</w:t>
      </w:r>
      <w:r w:rsidR="007555C1">
        <w:rPr>
          <w:rFonts w:ascii="Arial" w:hAnsi="Arial" w:cs="Arial"/>
          <w:noProof/>
          <w:sz w:val="24"/>
          <w:szCs w:val="24"/>
          <w:lang w:val="en-US" w:eastAsia="es-CO"/>
        </w:rPr>
        <w:t xml:space="preserve">nce </w:t>
      </w:r>
      <w:r w:rsidR="00F655D6">
        <w:rPr>
          <w:rFonts w:ascii="Arial" w:hAnsi="Arial" w:cs="Arial"/>
          <w:noProof/>
          <w:sz w:val="24"/>
          <w:szCs w:val="24"/>
          <w:lang w:val="en-US" w:eastAsia="es-CO"/>
        </w:rPr>
        <w:t xml:space="preserve">in relation to self-care and activities as taking a shower, require help. </w:t>
      </w:r>
      <w:r w:rsidR="00F655D6" w:rsidRPr="00DF2EAC">
        <w:rPr>
          <w:rFonts w:ascii="Arial" w:hAnsi="Arial" w:cs="Arial"/>
          <w:noProof/>
          <w:sz w:val="24"/>
          <w:szCs w:val="24"/>
          <w:lang w:val="en-US" w:eastAsia="es-CO"/>
        </w:rPr>
        <w:t xml:space="preserve">Regarding the </w:t>
      </w:r>
      <w:r w:rsidR="00DF2EAC" w:rsidRPr="00DF2EAC">
        <w:rPr>
          <w:rFonts w:ascii="Arial" w:hAnsi="Arial" w:cs="Arial"/>
          <w:noProof/>
          <w:sz w:val="24"/>
          <w:szCs w:val="24"/>
          <w:lang w:val="en-US" w:eastAsia="es-CO"/>
        </w:rPr>
        <w:t>mobilit</w:t>
      </w:r>
      <w:r w:rsidR="00C33FF0">
        <w:rPr>
          <w:rFonts w:ascii="Arial" w:hAnsi="Arial" w:cs="Arial"/>
          <w:noProof/>
          <w:sz w:val="24"/>
          <w:szCs w:val="24"/>
          <w:lang w:val="en-US" w:eastAsia="es-CO"/>
        </w:rPr>
        <w:t>y, the best average observed was</w:t>
      </w:r>
      <w:r w:rsidR="00DF2EAC" w:rsidRPr="00DF2EAC">
        <w:rPr>
          <w:rFonts w:ascii="Arial" w:hAnsi="Arial" w:cs="Arial"/>
          <w:noProof/>
          <w:sz w:val="24"/>
          <w:szCs w:val="24"/>
          <w:lang w:val="en-US" w:eastAsia="es-CO"/>
        </w:rPr>
        <w:t xml:space="preserve"> about the capacity </w:t>
      </w:r>
      <w:r w:rsidR="00DF2EAC">
        <w:rPr>
          <w:rFonts w:ascii="Arial" w:hAnsi="Arial" w:cs="Arial"/>
          <w:noProof/>
          <w:sz w:val="24"/>
          <w:szCs w:val="24"/>
          <w:lang w:val="en-US" w:eastAsia="es-CO"/>
        </w:rPr>
        <w:t xml:space="preserve">people had to move without help from a chair to their bed and also to walk around. With </w:t>
      </w:r>
      <w:r w:rsidR="00BC398F">
        <w:rPr>
          <w:rFonts w:ascii="Arial" w:hAnsi="Arial" w:cs="Arial"/>
          <w:noProof/>
          <w:sz w:val="24"/>
          <w:szCs w:val="24"/>
          <w:lang w:val="en-US" w:eastAsia="es-CO"/>
        </w:rPr>
        <w:t>regard to the use of stairs, t</w:t>
      </w:r>
      <w:r w:rsidR="00DF2EAC">
        <w:rPr>
          <w:rFonts w:ascii="Arial" w:hAnsi="Arial" w:cs="Arial"/>
          <w:noProof/>
          <w:sz w:val="24"/>
          <w:szCs w:val="24"/>
          <w:lang w:val="en-US" w:eastAsia="es-CO"/>
        </w:rPr>
        <w:t>h</w:t>
      </w:r>
      <w:r w:rsidR="00BC398F">
        <w:rPr>
          <w:rFonts w:ascii="Arial" w:hAnsi="Arial" w:cs="Arial"/>
          <w:noProof/>
          <w:sz w:val="24"/>
          <w:szCs w:val="24"/>
          <w:lang w:val="en-US" w:eastAsia="es-CO"/>
        </w:rPr>
        <w:t>e</w:t>
      </w:r>
      <w:r w:rsidR="00DF2EAC">
        <w:rPr>
          <w:rFonts w:ascii="Arial" w:hAnsi="Arial" w:cs="Arial"/>
          <w:noProof/>
          <w:sz w:val="24"/>
          <w:szCs w:val="24"/>
          <w:lang w:val="en-US" w:eastAsia="es-CO"/>
        </w:rPr>
        <w:t xml:space="preserve">re is evidence of lower scores, which indicates </w:t>
      </w:r>
      <w:r w:rsidR="0006251D">
        <w:rPr>
          <w:rFonts w:ascii="Arial" w:hAnsi="Arial" w:cs="Arial"/>
          <w:noProof/>
          <w:sz w:val="24"/>
          <w:szCs w:val="24"/>
          <w:lang w:val="en-US" w:eastAsia="es-CO"/>
        </w:rPr>
        <w:t>that a higher percentage of people needed some</w:t>
      </w:r>
      <w:r w:rsidR="00C33FF0">
        <w:rPr>
          <w:rFonts w:ascii="Arial" w:hAnsi="Arial" w:cs="Arial"/>
          <w:noProof/>
          <w:sz w:val="24"/>
          <w:szCs w:val="24"/>
          <w:lang w:val="en-US" w:eastAsia="es-CO"/>
        </w:rPr>
        <w:t xml:space="preserve"> help. Finally, in relation to</w:t>
      </w:r>
      <w:r w:rsidR="0006251D">
        <w:rPr>
          <w:rFonts w:ascii="Arial" w:hAnsi="Arial" w:cs="Arial"/>
          <w:noProof/>
          <w:sz w:val="24"/>
          <w:szCs w:val="24"/>
          <w:lang w:val="en-US" w:eastAsia="es-CO"/>
        </w:rPr>
        <w:t xml:space="preserve"> bladder control, the findings show that the average obtained was high for both, urination control and for defecation</w:t>
      </w:r>
      <w:r w:rsidR="00BC398F">
        <w:rPr>
          <w:rFonts w:ascii="Arial" w:hAnsi="Arial" w:cs="Arial"/>
          <w:noProof/>
          <w:sz w:val="24"/>
          <w:szCs w:val="24"/>
          <w:lang w:val="en-US" w:eastAsia="es-CO"/>
        </w:rPr>
        <w:t xml:space="preserve">, showing that most of the population preserved their </w:t>
      </w:r>
      <w:r w:rsidR="00B262C7">
        <w:rPr>
          <w:rFonts w:ascii="Arial" w:hAnsi="Arial" w:cs="Arial"/>
          <w:noProof/>
          <w:sz w:val="24"/>
          <w:szCs w:val="24"/>
          <w:lang w:val="en-US" w:eastAsia="es-CO"/>
        </w:rPr>
        <w:t>continence functions (Table 3).</w:t>
      </w:r>
    </w:p>
    <w:p w:rsidR="000324C0" w:rsidRDefault="000324C0" w:rsidP="00C85E29">
      <w:pPr>
        <w:jc w:val="center"/>
        <w:rPr>
          <w:rFonts w:ascii="Arial" w:hAnsi="Arial" w:cs="Arial"/>
          <w:b/>
          <w:i/>
          <w:noProof/>
          <w:sz w:val="20"/>
          <w:szCs w:val="20"/>
          <w:lang w:val="en-US" w:eastAsia="es-CO"/>
        </w:rPr>
      </w:pPr>
    </w:p>
    <w:p w:rsidR="00C85E29" w:rsidRPr="00FB3CFC" w:rsidRDefault="00FB3CFC" w:rsidP="00C85E29">
      <w:pPr>
        <w:jc w:val="center"/>
        <w:rPr>
          <w:rFonts w:ascii="Arial" w:hAnsi="Arial" w:cs="Arial"/>
          <w:i/>
          <w:noProof/>
          <w:sz w:val="20"/>
          <w:szCs w:val="20"/>
          <w:lang w:val="en-US" w:eastAsia="es-CO"/>
        </w:rPr>
      </w:pPr>
      <w:r w:rsidRPr="005756CC">
        <w:rPr>
          <w:rFonts w:ascii="Arial" w:hAnsi="Arial" w:cs="Arial"/>
          <w:b/>
          <w:i/>
          <w:noProof/>
          <w:sz w:val="20"/>
          <w:szCs w:val="20"/>
          <w:lang w:val="en-US" w:eastAsia="es-CO"/>
        </w:rPr>
        <w:t>Table 3.</w:t>
      </w:r>
      <w:r w:rsidRPr="005756CC">
        <w:rPr>
          <w:rFonts w:ascii="Arial" w:hAnsi="Arial" w:cs="Arial"/>
          <w:i/>
          <w:noProof/>
          <w:sz w:val="20"/>
          <w:szCs w:val="20"/>
          <w:lang w:val="en-US" w:eastAsia="es-CO"/>
        </w:rPr>
        <w:t xml:space="preserve"> </w:t>
      </w:r>
      <w:r>
        <w:rPr>
          <w:rFonts w:ascii="Arial" w:hAnsi="Arial" w:cs="Arial"/>
          <w:i/>
          <w:noProof/>
          <w:sz w:val="20"/>
          <w:szCs w:val="20"/>
          <w:lang w:val="en-US" w:eastAsia="es-CO"/>
        </w:rPr>
        <w:t xml:space="preserve">Study participants </w:t>
      </w:r>
      <w:r w:rsidRPr="005756CC">
        <w:rPr>
          <w:rFonts w:ascii="Arial" w:hAnsi="Arial" w:cs="Arial"/>
          <w:i/>
          <w:noProof/>
          <w:sz w:val="20"/>
          <w:szCs w:val="20"/>
          <w:lang w:val="en-US" w:eastAsia="es-CO"/>
        </w:rPr>
        <w:t xml:space="preserve">Barthel index descriptive table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1403"/>
        <w:gridCol w:w="1332"/>
        <w:gridCol w:w="1418"/>
        <w:gridCol w:w="1275"/>
      </w:tblGrid>
      <w:tr w:rsidR="00FF0340" w:rsidRPr="00EE352C" w:rsidTr="00092E09">
        <w:trPr>
          <w:jc w:val="center"/>
        </w:trPr>
        <w:tc>
          <w:tcPr>
            <w:tcW w:w="2075" w:type="dxa"/>
            <w:tcBorders>
              <w:bottom w:val="single" w:sz="4" w:space="0" w:color="auto"/>
            </w:tcBorders>
            <w:shd w:val="clear" w:color="auto" w:fill="E2EFD9" w:themeFill="accent6" w:themeFillTint="33"/>
          </w:tcPr>
          <w:p w:rsidR="00FF0340" w:rsidRPr="00EE352C" w:rsidRDefault="00FF0340" w:rsidP="00092E09">
            <w:pPr>
              <w:jc w:val="center"/>
              <w:rPr>
                <w:rFonts w:ascii="Arial" w:hAnsi="Arial" w:cs="Arial"/>
                <w:b/>
                <w:sz w:val="20"/>
                <w:szCs w:val="20"/>
                <w:lang w:val="es-ES"/>
              </w:rPr>
            </w:pPr>
            <w:r w:rsidRPr="00EE352C">
              <w:rPr>
                <w:rFonts w:ascii="Arial" w:hAnsi="Arial" w:cs="Arial"/>
                <w:b/>
                <w:sz w:val="20"/>
                <w:szCs w:val="20"/>
                <w:lang w:val="es-ES"/>
              </w:rPr>
              <w:t>Variable</w:t>
            </w:r>
          </w:p>
        </w:tc>
        <w:tc>
          <w:tcPr>
            <w:tcW w:w="1332" w:type="dxa"/>
            <w:tcBorders>
              <w:bottom w:val="single" w:sz="4" w:space="0" w:color="auto"/>
            </w:tcBorders>
            <w:shd w:val="clear" w:color="auto" w:fill="E2EFD9" w:themeFill="accent6" w:themeFillTint="33"/>
          </w:tcPr>
          <w:p w:rsidR="00FF0340" w:rsidRPr="00FB3CFC" w:rsidRDefault="00FB3CFC" w:rsidP="00FB3CFC">
            <w:pPr>
              <w:autoSpaceDE w:val="0"/>
              <w:autoSpaceDN w:val="0"/>
              <w:adjustRightInd w:val="0"/>
              <w:ind w:left="60" w:right="60"/>
              <w:jc w:val="center"/>
              <w:rPr>
                <w:rFonts w:ascii="Arial" w:hAnsi="Arial" w:cs="Arial"/>
                <w:b/>
                <w:color w:val="000000"/>
                <w:sz w:val="20"/>
                <w:szCs w:val="20"/>
                <w:lang w:eastAsia="es-CO"/>
              </w:rPr>
            </w:pPr>
            <w:r>
              <w:rPr>
                <w:rFonts w:ascii="Arial" w:hAnsi="Arial" w:cs="Arial"/>
                <w:b/>
                <w:color w:val="000000"/>
                <w:sz w:val="20"/>
                <w:szCs w:val="20"/>
                <w:lang w:eastAsia="es-CO"/>
              </w:rPr>
              <w:t xml:space="preserve">Theoretical </w:t>
            </w:r>
            <w:r w:rsidR="00FF0340">
              <w:rPr>
                <w:rFonts w:ascii="Arial" w:hAnsi="Arial" w:cs="Arial"/>
                <w:b/>
                <w:color w:val="000000"/>
                <w:sz w:val="20"/>
                <w:szCs w:val="20"/>
                <w:lang w:eastAsia="es-CO"/>
              </w:rPr>
              <w:t>Mí/Max</w:t>
            </w:r>
          </w:p>
        </w:tc>
        <w:tc>
          <w:tcPr>
            <w:tcW w:w="1332" w:type="dxa"/>
            <w:tcBorders>
              <w:bottom w:val="single" w:sz="4" w:space="0" w:color="auto"/>
            </w:tcBorders>
            <w:shd w:val="clear" w:color="auto" w:fill="E2EFD9" w:themeFill="accent6" w:themeFillTint="33"/>
          </w:tcPr>
          <w:p w:rsidR="00FF0340" w:rsidRPr="00EE352C" w:rsidRDefault="00FF0340" w:rsidP="00FB3CFC">
            <w:pPr>
              <w:jc w:val="center"/>
              <w:rPr>
                <w:rFonts w:ascii="Arial" w:hAnsi="Arial" w:cs="Arial"/>
                <w:b/>
                <w:sz w:val="20"/>
                <w:szCs w:val="20"/>
                <w:lang w:val="es-ES"/>
              </w:rPr>
            </w:pPr>
            <w:r>
              <w:rPr>
                <w:rFonts w:ascii="Arial" w:hAnsi="Arial" w:cs="Arial"/>
                <w:b/>
                <w:sz w:val="20"/>
                <w:szCs w:val="20"/>
                <w:lang w:val="es-ES"/>
              </w:rPr>
              <w:t>M</w:t>
            </w:r>
            <w:r w:rsidR="00FB3CFC">
              <w:rPr>
                <w:rFonts w:ascii="Arial" w:hAnsi="Arial" w:cs="Arial"/>
                <w:b/>
                <w:sz w:val="20"/>
                <w:szCs w:val="20"/>
                <w:lang w:val="es-ES"/>
              </w:rPr>
              <w:t>inimum</w:t>
            </w:r>
          </w:p>
        </w:tc>
        <w:tc>
          <w:tcPr>
            <w:tcW w:w="1418" w:type="dxa"/>
            <w:tcBorders>
              <w:bottom w:val="single" w:sz="4" w:space="0" w:color="auto"/>
            </w:tcBorders>
            <w:shd w:val="clear" w:color="auto" w:fill="E2EFD9" w:themeFill="accent6" w:themeFillTint="33"/>
          </w:tcPr>
          <w:p w:rsidR="00FF0340" w:rsidRPr="00EE352C" w:rsidRDefault="00FF0340" w:rsidP="00092E09">
            <w:pPr>
              <w:jc w:val="center"/>
              <w:rPr>
                <w:rFonts w:ascii="Arial" w:hAnsi="Arial" w:cs="Arial"/>
                <w:b/>
                <w:sz w:val="20"/>
                <w:szCs w:val="20"/>
                <w:lang w:val="es-ES"/>
              </w:rPr>
            </w:pPr>
            <w:r>
              <w:rPr>
                <w:rFonts w:ascii="Arial" w:hAnsi="Arial" w:cs="Arial"/>
                <w:b/>
                <w:sz w:val="20"/>
                <w:szCs w:val="20"/>
                <w:lang w:val="es-ES"/>
              </w:rPr>
              <w:t>M</w:t>
            </w:r>
            <w:r w:rsidR="00FB3CFC">
              <w:rPr>
                <w:rFonts w:ascii="Arial" w:hAnsi="Arial" w:cs="Arial"/>
                <w:b/>
                <w:sz w:val="20"/>
                <w:szCs w:val="20"/>
                <w:lang w:val="es-ES"/>
              </w:rPr>
              <w:t>aximum</w:t>
            </w:r>
          </w:p>
        </w:tc>
        <w:tc>
          <w:tcPr>
            <w:tcW w:w="1275" w:type="dxa"/>
            <w:tcBorders>
              <w:bottom w:val="single" w:sz="4" w:space="0" w:color="auto"/>
            </w:tcBorders>
            <w:shd w:val="clear" w:color="auto" w:fill="E2EFD9" w:themeFill="accent6" w:themeFillTint="33"/>
          </w:tcPr>
          <w:p w:rsidR="00FF0340" w:rsidRPr="00EE352C" w:rsidRDefault="00FF0340" w:rsidP="00092E09">
            <w:pPr>
              <w:jc w:val="center"/>
              <w:rPr>
                <w:rFonts w:ascii="Arial" w:hAnsi="Arial" w:cs="Arial"/>
                <w:b/>
                <w:sz w:val="20"/>
                <w:szCs w:val="20"/>
                <w:lang w:val="es-ES"/>
              </w:rPr>
            </w:pPr>
            <w:r w:rsidRPr="00EE352C">
              <w:rPr>
                <w:rFonts w:ascii="Arial" w:hAnsi="Arial" w:cs="Arial"/>
                <w:b/>
                <w:sz w:val="20"/>
                <w:szCs w:val="20"/>
                <w:lang w:val="es-ES"/>
              </w:rPr>
              <w:t>Media</w:t>
            </w:r>
          </w:p>
        </w:tc>
      </w:tr>
      <w:tr w:rsidR="00FF0340" w:rsidRPr="00EE352C" w:rsidTr="00092E09">
        <w:trPr>
          <w:jc w:val="center"/>
        </w:trPr>
        <w:tc>
          <w:tcPr>
            <w:tcW w:w="2075" w:type="dxa"/>
            <w:tcBorders>
              <w:top w:val="single" w:sz="4" w:space="0" w:color="auto"/>
            </w:tcBorders>
          </w:tcPr>
          <w:p w:rsidR="00FF0340" w:rsidRPr="00EE352C" w:rsidRDefault="00DC2799" w:rsidP="00092E09">
            <w:pPr>
              <w:jc w:val="center"/>
              <w:rPr>
                <w:rFonts w:ascii="Arial" w:hAnsi="Arial" w:cs="Arial"/>
                <w:b/>
                <w:sz w:val="20"/>
                <w:szCs w:val="20"/>
                <w:lang w:val="es-ES"/>
              </w:rPr>
            </w:pPr>
            <w:r>
              <w:rPr>
                <w:rFonts w:cs="Arial"/>
                <w:color w:val="000000"/>
                <w:sz w:val="20"/>
                <w:szCs w:val="20"/>
                <w:lang w:eastAsia="es-CO"/>
              </w:rPr>
              <w:t>Feeding</w:t>
            </w:r>
          </w:p>
        </w:tc>
        <w:tc>
          <w:tcPr>
            <w:tcW w:w="1332" w:type="dxa"/>
            <w:tcBorders>
              <w:top w:val="single" w:sz="4" w:space="0" w:color="auto"/>
            </w:tcBorders>
          </w:tcPr>
          <w:p w:rsidR="00FF0340" w:rsidRPr="00B07023" w:rsidRDefault="00FF0340" w:rsidP="00092E09">
            <w:pPr>
              <w:jc w:val="center"/>
              <w:rPr>
                <w:rFonts w:cs="Arial"/>
                <w:color w:val="000000"/>
                <w:sz w:val="20"/>
                <w:szCs w:val="20"/>
                <w:lang w:eastAsia="es-CO"/>
              </w:rPr>
            </w:pPr>
            <w:r>
              <w:rPr>
                <w:rFonts w:cs="Arial"/>
                <w:color w:val="000000"/>
                <w:sz w:val="20"/>
                <w:szCs w:val="20"/>
                <w:lang w:eastAsia="es-CO"/>
              </w:rPr>
              <w:t>0/10</w:t>
            </w:r>
          </w:p>
        </w:tc>
        <w:tc>
          <w:tcPr>
            <w:tcW w:w="1332" w:type="dxa"/>
            <w:tcBorders>
              <w:top w:val="single" w:sz="4" w:space="0" w:color="auto"/>
            </w:tcBorders>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5</w:t>
            </w:r>
          </w:p>
        </w:tc>
        <w:tc>
          <w:tcPr>
            <w:tcW w:w="1418" w:type="dxa"/>
            <w:tcBorders>
              <w:top w:val="single" w:sz="4" w:space="0" w:color="auto"/>
            </w:tcBorders>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10</w:t>
            </w:r>
          </w:p>
        </w:tc>
        <w:tc>
          <w:tcPr>
            <w:tcW w:w="1275" w:type="dxa"/>
            <w:tcBorders>
              <w:top w:val="single" w:sz="4" w:space="0" w:color="auto"/>
            </w:tcBorders>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10</w:t>
            </w:r>
          </w:p>
        </w:tc>
      </w:tr>
      <w:tr w:rsidR="00FF0340" w:rsidRPr="00EE352C" w:rsidTr="00092E09">
        <w:trPr>
          <w:jc w:val="center"/>
        </w:trPr>
        <w:tc>
          <w:tcPr>
            <w:tcW w:w="2075" w:type="dxa"/>
          </w:tcPr>
          <w:p w:rsidR="00FF0340" w:rsidRPr="00EE352C" w:rsidRDefault="00DC2799" w:rsidP="00092E09">
            <w:pPr>
              <w:jc w:val="center"/>
              <w:rPr>
                <w:rFonts w:ascii="Arial" w:hAnsi="Arial" w:cs="Arial"/>
                <w:b/>
                <w:sz w:val="20"/>
                <w:szCs w:val="20"/>
                <w:lang w:val="es-ES"/>
              </w:rPr>
            </w:pPr>
            <w:r>
              <w:rPr>
                <w:rFonts w:cs="Arial"/>
                <w:color w:val="000000"/>
                <w:sz w:val="20"/>
                <w:szCs w:val="20"/>
                <w:lang w:eastAsia="es-CO"/>
              </w:rPr>
              <w:t>Bathing</w:t>
            </w:r>
          </w:p>
        </w:tc>
        <w:tc>
          <w:tcPr>
            <w:tcW w:w="1332" w:type="dxa"/>
          </w:tcPr>
          <w:p w:rsidR="00FF0340" w:rsidRPr="00B07023" w:rsidRDefault="00FF0340" w:rsidP="00092E09">
            <w:pPr>
              <w:jc w:val="center"/>
              <w:rPr>
                <w:rFonts w:cs="Arial"/>
                <w:color w:val="000000"/>
                <w:sz w:val="20"/>
                <w:szCs w:val="20"/>
                <w:lang w:eastAsia="es-CO"/>
              </w:rPr>
            </w:pPr>
            <w:r>
              <w:rPr>
                <w:rFonts w:cs="Arial"/>
                <w:color w:val="000000"/>
                <w:sz w:val="20"/>
                <w:szCs w:val="20"/>
                <w:lang w:eastAsia="es-CO"/>
              </w:rPr>
              <w:t>0/5</w:t>
            </w:r>
          </w:p>
        </w:tc>
        <w:tc>
          <w:tcPr>
            <w:tcW w:w="1332" w:type="dxa"/>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0</w:t>
            </w:r>
          </w:p>
        </w:tc>
        <w:tc>
          <w:tcPr>
            <w:tcW w:w="1418" w:type="dxa"/>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5</w:t>
            </w:r>
          </w:p>
        </w:tc>
        <w:tc>
          <w:tcPr>
            <w:tcW w:w="1275" w:type="dxa"/>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5</w:t>
            </w:r>
          </w:p>
        </w:tc>
      </w:tr>
      <w:tr w:rsidR="00FF0340" w:rsidRPr="00EE352C" w:rsidTr="00092E09">
        <w:trPr>
          <w:jc w:val="center"/>
        </w:trPr>
        <w:tc>
          <w:tcPr>
            <w:tcW w:w="2075" w:type="dxa"/>
          </w:tcPr>
          <w:p w:rsidR="00FF0340" w:rsidRPr="00EE352C" w:rsidRDefault="00DC2799" w:rsidP="00092E09">
            <w:pPr>
              <w:jc w:val="center"/>
              <w:rPr>
                <w:rFonts w:ascii="Arial" w:hAnsi="Arial" w:cs="Arial"/>
                <w:b/>
                <w:sz w:val="20"/>
                <w:szCs w:val="20"/>
                <w:lang w:val="es-ES"/>
              </w:rPr>
            </w:pPr>
            <w:r>
              <w:rPr>
                <w:rFonts w:cs="Arial"/>
                <w:color w:val="000000"/>
                <w:sz w:val="20"/>
                <w:szCs w:val="20"/>
                <w:lang w:eastAsia="es-CO"/>
              </w:rPr>
              <w:t>Clothing</w:t>
            </w:r>
          </w:p>
        </w:tc>
        <w:tc>
          <w:tcPr>
            <w:tcW w:w="1332" w:type="dxa"/>
          </w:tcPr>
          <w:p w:rsidR="00FF0340" w:rsidRPr="00B07023" w:rsidRDefault="00FF0340" w:rsidP="00092E09">
            <w:pPr>
              <w:jc w:val="center"/>
              <w:rPr>
                <w:rFonts w:cs="Arial"/>
                <w:color w:val="000000"/>
                <w:sz w:val="20"/>
                <w:szCs w:val="20"/>
                <w:lang w:eastAsia="es-CO"/>
              </w:rPr>
            </w:pPr>
            <w:r>
              <w:rPr>
                <w:rFonts w:cs="Arial"/>
                <w:color w:val="000000"/>
                <w:sz w:val="20"/>
                <w:szCs w:val="20"/>
                <w:lang w:eastAsia="es-CO"/>
              </w:rPr>
              <w:t>0/10</w:t>
            </w:r>
          </w:p>
        </w:tc>
        <w:tc>
          <w:tcPr>
            <w:tcW w:w="1332" w:type="dxa"/>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0</w:t>
            </w:r>
          </w:p>
        </w:tc>
        <w:tc>
          <w:tcPr>
            <w:tcW w:w="1418" w:type="dxa"/>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10</w:t>
            </w:r>
          </w:p>
        </w:tc>
        <w:tc>
          <w:tcPr>
            <w:tcW w:w="1275" w:type="dxa"/>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10</w:t>
            </w:r>
          </w:p>
        </w:tc>
      </w:tr>
      <w:tr w:rsidR="00FF0340" w:rsidRPr="00EE352C" w:rsidTr="00092E09">
        <w:trPr>
          <w:jc w:val="center"/>
        </w:trPr>
        <w:tc>
          <w:tcPr>
            <w:tcW w:w="2075" w:type="dxa"/>
          </w:tcPr>
          <w:p w:rsidR="00FF0340" w:rsidRPr="00EE352C" w:rsidRDefault="00DC2799" w:rsidP="00092E09">
            <w:pPr>
              <w:jc w:val="center"/>
              <w:rPr>
                <w:rFonts w:ascii="Arial" w:hAnsi="Arial" w:cs="Arial"/>
                <w:b/>
                <w:sz w:val="20"/>
                <w:szCs w:val="20"/>
                <w:lang w:val="es-ES"/>
              </w:rPr>
            </w:pPr>
            <w:r>
              <w:rPr>
                <w:rFonts w:cs="Arial"/>
                <w:color w:val="000000"/>
                <w:sz w:val="20"/>
                <w:szCs w:val="20"/>
                <w:lang w:eastAsia="es-CO"/>
              </w:rPr>
              <w:t>Grooming</w:t>
            </w:r>
          </w:p>
        </w:tc>
        <w:tc>
          <w:tcPr>
            <w:tcW w:w="1332" w:type="dxa"/>
          </w:tcPr>
          <w:p w:rsidR="00FF0340" w:rsidRPr="00B07023" w:rsidRDefault="00FF0340" w:rsidP="00092E09">
            <w:pPr>
              <w:jc w:val="center"/>
              <w:rPr>
                <w:rFonts w:cs="Arial"/>
                <w:color w:val="000000"/>
                <w:sz w:val="20"/>
                <w:szCs w:val="20"/>
                <w:lang w:eastAsia="es-CO"/>
              </w:rPr>
            </w:pPr>
            <w:r>
              <w:rPr>
                <w:rFonts w:cs="Arial"/>
                <w:color w:val="000000"/>
                <w:sz w:val="20"/>
                <w:szCs w:val="20"/>
                <w:lang w:eastAsia="es-CO"/>
              </w:rPr>
              <w:t>0/5</w:t>
            </w:r>
          </w:p>
        </w:tc>
        <w:tc>
          <w:tcPr>
            <w:tcW w:w="1332" w:type="dxa"/>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0</w:t>
            </w:r>
          </w:p>
        </w:tc>
        <w:tc>
          <w:tcPr>
            <w:tcW w:w="1418" w:type="dxa"/>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5</w:t>
            </w:r>
          </w:p>
        </w:tc>
        <w:tc>
          <w:tcPr>
            <w:tcW w:w="1275" w:type="dxa"/>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5</w:t>
            </w:r>
          </w:p>
        </w:tc>
      </w:tr>
      <w:tr w:rsidR="00FF0340" w:rsidRPr="00EE352C" w:rsidTr="00092E09">
        <w:trPr>
          <w:jc w:val="center"/>
        </w:trPr>
        <w:tc>
          <w:tcPr>
            <w:tcW w:w="2075" w:type="dxa"/>
          </w:tcPr>
          <w:p w:rsidR="00FF0340" w:rsidRPr="00EE352C" w:rsidRDefault="00030320" w:rsidP="00092E09">
            <w:pPr>
              <w:jc w:val="center"/>
              <w:rPr>
                <w:rFonts w:ascii="Arial" w:hAnsi="Arial" w:cs="Arial"/>
                <w:b/>
                <w:sz w:val="20"/>
                <w:szCs w:val="20"/>
                <w:lang w:val="es-ES"/>
              </w:rPr>
            </w:pPr>
            <w:r>
              <w:rPr>
                <w:rFonts w:cs="Arial"/>
                <w:color w:val="000000"/>
                <w:sz w:val="20"/>
                <w:szCs w:val="20"/>
                <w:lang w:eastAsia="es-CO"/>
              </w:rPr>
              <w:t xml:space="preserve">Toilet </w:t>
            </w:r>
            <w:r w:rsidR="00DC2799">
              <w:rPr>
                <w:rFonts w:cs="Arial"/>
                <w:color w:val="000000"/>
                <w:sz w:val="20"/>
                <w:szCs w:val="20"/>
                <w:lang w:eastAsia="es-CO"/>
              </w:rPr>
              <w:t>use</w:t>
            </w:r>
          </w:p>
        </w:tc>
        <w:tc>
          <w:tcPr>
            <w:tcW w:w="1332" w:type="dxa"/>
          </w:tcPr>
          <w:p w:rsidR="00FF0340" w:rsidRPr="00B07023" w:rsidRDefault="00FF0340" w:rsidP="00092E09">
            <w:pPr>
              <w:jc w:val="center"/>
              <w:rPr>
                <w:rFonts w:cs="Arial"/>
                <w:color w:val="000000"/>
                <w:sz w:val="20"/>
                <w:szCs w:val="20"/>
                <w:lang w:eastAsia="es-CO"/>
              </w:rPr>
            </w:pPr>
            <w:r>
              <w:rPr>
                <w:rFonts w:cs="Arial"/>
                <w:color w:val="000000"/>
                <w:sz w:val="20"/>
                <w:szCs w:val="20"/>
                <w:lang w:eastAsia="es-CO"/>
              </w:rPr>
              <w:t>0/10</w:t>
            </w:r>
          </w:p>
        </w:tc>
        <w:tc>
          <w:tcPr>
            <w:tcW w:w="1332" w:type="dxa"/>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0</w:t>
            </w:r>
          </w:p>
        </w:tc>
        <w:tc>
          <w:tcPr>
            <w:tcW w:w="1418" w:type="dxa"/>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10</w:t>
            </w:r>
          </w:p>
        </w:tc>
        <w:tc>
          <w:tcPr>
            <w:tcW w:w="1275" w:type="dxa"/>
          </w:tcPr>
          <w:p w:rsidR="00FF0340" w:rsidRPr="00EE352C" w:rsidRDefault="00FF0340" w:rsidP="00092E09">
            <w:pPr>
              <w:jc w:val="center"/>
              <w:rPr>
                <w:rFonts w:ascii="Arial" w:hAnsi="Arial" w:cs="Arial"/>
                <w:b/>
                <w:sz w:val="20"/>
                <w:szCs w:val="20"/>
                <w:lang w:val="es-ES"/>
              </w:rPr>
            </w:pPr>
            <w:r w:rsidRPr="00B07023">
              <w:rPr>
                <w:rFonts w:cs="Arial"/>
                <w:color w:val="000000"/>
                <w:sz w:val="20"/>
                <w:szCs w:val="20"/>
                <w:lang w:eastAsia="es-CO"/>
              </w:rPr>
              <w:t>10</w:t>
            </w:r>
          </w:p>
        </w:tc>
      </w:tr>
      <w:tr w:rsidR="00FF0340" w:rsidRPr="00EE352C" w:rsidTr="00092E09">
        <w:trPr>
          <w:jc w:val="center"/>
        </w:trPr>
        <w:tc>
          <w:tcPr>
            <w:tcW w:w="2075" w:type="dxa"/>
          </w:tcPr>
          <w:p w:rsidR="00FF0340" w:rsidRPr="00DC2799" w:rsidRDefault="00DC2799" w:rsidP="00DC2799">
            <w:pPr>
              <w:jc w:val="center"/>
              <w:rPr>
                <w:rFonts w:ascii="Arial" w:hAnsi="Arial" w:cs="Arial"/>
                <w:b/>
                <w:sz w:val="20"/>
                <w:szCs w:val="20"/>
                <w:lang w:val="en-US"/>
              </w:rPr>
            </w:pPr>
            <w:r w:rsidRPr="00DC2799">
              <w:rPr>
                <w:rFonts w:cs="Arial"/>
                <w:color w:val="000000"/>
                <w:sz w:val="20"/>
                <w:szCs w:val="20"/>
                <w:lang w:val="en-US" w:eastAsia="es-CO"/>
              </w:rPr>
              <w:t xml:space="preserve">Chair-bed </w:t>
            </w:r>
            <w:r w:rsidR="00FF0340" w:rsidRPr="00DC2799">
              <w:rPr>
                <w:rFonts w:cs="Arial"/>
                <w:color w:val="000000"/>
                <w:sz w:val="20"/>
                <w:szCs w:val="20"/>
                <w:lang w:val="en-US" w:eastAsia="es-CO"/>
              </w:rPr>
              <w:t>Tra</w:t>
            </w:r>
            <w:r w:rsidRPr="00DC2799">
              <w:rPr>
                <w:rFonts w:cs="Arial"/>
                <w:color w:val="000000"/>
                <w:sz w:val="20"/>
                <w:szCs w:val="20"/>
                <w:lang w:val="en-US" w:eastAsia="es-CO"/>
              </w:rPr>
              <w:t>nslation</w:t>
            </w:r>
            <w:r w:rsidR="00FF0340" w:rsidRPr="00DC2799">
              <w:rPr>
                <w:rFonts w:cs="Arial"/>
                <w:color w:val="000000"/>
                <w:sz w:val="20"/>
                <w:szCs w:val="20"/>
                <w:lang w:val="en-US" w:eastAsia="es-CO"/>
              </w:rPr>
              <w:t xml:space="preserve"> </w:t>
            </w:r>
          </w:p>
        </w:tc>
        <w:tc>
          <w:tcPr>
            <w:tcW w:w="1332" w:type="dxa"/>
          </w:tcPr>
          <w:p w:rsidR="00FF0340" w:rsidRPr="000951F1" w:rsidRDefault="00FF0340" w:rsidP="00092E09">
            <w:pPr>
              <w:jc w:val="center"/>
              <w:rPr>
                <w:rFonts w:cs="Arial"/>
                <w:color w:val="000000"/>
                <w:sz w:val="20"/>
                <w:szCs w:val="20"/>
                <w:lang w:eastAsia="es-CO"/>
              </w:rPr>
            </w:pPr>
            <w:r>
              <w:rPr>
                <w:rFonts w:cs="Arial"/>
                <w:color w:val="000000"/>
                <w:sz w:val="20"/>
                <w:szCs w:val="20"/>
                <w:lang w:eastAsia="es-CO"/>
              </w:rPr>
              <w:t>0/15</w:t>
            </w:r>
          </w:p>
        </w:tc>
        <w:tc>
          <w:tcPr>
            <w:tcW w:w="1332" w:type="dxa"/>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0</w:t>
            </w:r>
          </w:p>
        </w:tc>
        <w:tc>
          <w:tcPr>
            <w:tcW w:w="1418" w:type="dxa"/>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15</w:t>
            </w:r>
          </w:p>
        </w:tc>
        <w:tc>
          <w:tcPr>
            <w:tcW w:w="1275" w:type="dxa"/>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15</w:t>
            </w:r>
          </w:p>
        </w:tc>
      </w:tr>
      <w:tr w:rsidR="00FF0340" w:rsidRPr="00EE352C" w:rsidTr="00092E09">
        <w:trPr>
          <w:jc w:val="center"/>
        </w:trPr>
        <w:tc>
          <w:tcPr>
            <w:tcW w:w="2075" w:type="dxa"/>
          </w:tcPr>
          <w:p w:rsidR="00FF0340" w:rsidRPr="00EE352C" w:rsidRDefault="004E0B2D" w:rsidP="00092E09">
            <w:pPr>
              <w:jc w:val="center"/>
              <w:rPr>
                <w:rFonts w:ascii="Arial" w:hAnsi="Arial" w:cs="Arial"/>
                <w:b/>
                <w:sz w:val="20"/>
                <w:szCs w:val="20"/>
                <w:lang w:val="es-ES"/>
              </w:rPr>
            </w:pPr>
            <w:r w:rsidRPr="004E0B2D">
              <w:rPr>
                <w:rFonts w:ascii="Arial" w:hAnsi="Arial" w:cs="Arial"/>
                <w:sz w:val="20"/>
                <w:szCs w:val="20"/>
                <w:lang w:val="es-ES"/>
              </w:rPr>
              <w:t>Stroll</w:t>
            </w:r>
          </w:p>
        </w:tc>
        <w:tc>
          <w:tcPr>
            <w:tcW w:w="1332" w:type="dxa"/>
          </w:tcPr>
          <w:p w:rsidR="00FF0340" w:rsidRPr="000951F1" w:rsidRDefault="00FF0340" w:rsidP="00092E09">
            <w:pPr>
              <w:jc w:val="center"/>
              <w:rPr>
                <w:rFonts w:cs="Arial"/>
                <w:color w:val="000000"/>
                <w:sz w:val="20"/>
                <w:szCs w:val="20"/>
                <w:lang w:eastAsia="es-CO"/>
              </w:rPr>
            </w:pPr>
            <w:r>
              <w:rPr>
                <w:rFonts w:cs="Arial"/>
                <w:color w:val="000000"/>
                <w:sz w:val="20"/>
                <w:szCs w:val="20"/>
                <w:lang w:eastAsia="es-CO"/>
              </w:rPr>
              <w:t>0/15</w:t>
            </w:r>
          </w:p>
        </w:tc>
        <w:tc>
          <w:tcPr>
            <w:tcW w:w="1332" w:type="dxa"/>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0</w:t>
            </w:r>
          </w:p>
        </w:tc>
        <w:tc>
          <w:tcPr>
            <w:tcW w:w="1418" w:type="dxa"/>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15</w:t>
            </w:r>
          </w:p>
        </w:tc>
        <w:tc>
          <w:tcPr>
            <w:tcW w:w="1275" w:type="dxa"/>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14</w:t>
            </w:r>
          </w:p>
        </w:tc>
      </w:tr>
      <w:tr w:rsidR="00FF0340" w:rsidRPr="00EE352C" w:rsidTr="00092E09">
        <w:trPr>
          <w:jc w:val="center"/>
        </w:trPr>
        <w:tc>
          <w:tcPr>
            <w:tcW w:w="2075" w:type="dxa"/>
          </w:tcPr>
          <w:p w:rsidR="00FF0340" w:rsidRPr="00EE352C" w:rsidRDefault="004E0B2D" w:rsidP="00092E09">
            <w:pPr>
              <w:jc w:val="center"/>
              <w:rPr>
                <w:rFonts w:ascii="Arial" w:hAnsi="Arial" w:cs="Arial"/>
                <w:b/>
                <w:sz w:val="20"/>
                <w:szCs w:val="20"/>
                <w:lang w:val="es-ES"/>
              </w:rPr>
            </w:pPr>
            <w:r>
              <w:rPr>
                <w:rFonts w:cs="Arial"/>
                <w:color w:val="000000"/>
                <w:sz w:val="20"/>
                <w:szCs w:val="20"/>
                <w:lang w:eastAsia="es-CO"/>
              </w:rPr>
              <w:t>Stairs</w:t>
            </w:r>
          </w:p>
        </w:tc>
        <w:tc>
          <w:tcPr>
            <w:tcW w:w="1332" w:type="dxa"/>
          </w:tcPr>
          <w:p w:rsidR="00FF0340" w:rsidRPr="000951F1" w:rsidRDefault="00FF0340" w:rsidP="00092E09">
            <w:pPr>
              <w:jc w:val="center"/>
              <w:rPr>
                <w:rFonts w:cs="Arial"/>
                <w:color w:val="000000"/>
                <w:sz w:val="20"/>
                <w:szCs w:val="20"/>
                <w:lang w:eastAsia="es-CO"/>
              </w:rPr>
            </w:pPr>
            <w:r>
              <w:rPr>
                <w:rFonts w:cs="Arial"/>
                <w:color w:val="000000"/>
                <w:sz w:val="20"/>
                <w:szCs w:val="20"/>
                <w:lang w:eastAsia="es-CO"/>
              </w:rPr>
              <w:t>0/10</w:t>
            </w:r>
          </w:p>
        </w:tc>
        <w:tc>
          <w:tcPr>
            <w:tcW w:w="1332" w:type="dxa"/>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0</w:t>
            </w:r>
          </w:p>
        </w:tc>
        <w:tc>
          <w:tcPr>
            <w:tcW w:w="1418" w:type="dxa"/>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10</w:t>
            </w:r>
          </w:p>
        </w:tc>
        <w:tc>
          <w:tcPr>
            <w:tcW w:w="1275" w:type="dxa"/>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9</w:t>
            </w:r>
          </w:p>
        </w:tc>
      </w:tr>
      <w:tr w:rsidR="00FF0340" w:rsidRPr="00EE352C" w:rsidTr="00092E09">
        <w:trPr>
          <w:jc w:val="center"/>
        </w:trPr>
        <w:tc>
          <w:tcPr>
            <w:tcW w:w="2075" w:type="dxa"/>
          </w:tcPr>
          <w:p w:rsidR="00FF0340" w:rsidRPr="00EE352C" w:rsidRDefault="004E0B2D" w:rsidP="00092E09">
            <w:pPr>
              <w:jc w:val="center"/>
              <w:rPr>
                <w:rFonts w:ascii="Arial" w:hAnsi="Arial" w:cs="Arial"/>
                <w:b/>
                <w:sz w:val="20"/>
                <w:szCs w:val="20"/>
                <w:lang w:val="es-ES"/>
              </w:rPr>
            </w:pPr>
            <w:r>
              <w:rPr>
                <w:rFonts w:cs="Arial"/>
                <w:color w:val="000000"/>
                <w:sz w:val="20"/>
                <w:szCs w:val="20"/>
                <w:lang w:eastAsia="es-CO"/>
              </w:rPr>
              <w:t>Urination</w:t>
            </w:r>
          </w:p>
        </w:tc>
        <w:tc>
          <w:tcPr>
            <w:tcW w:w="1332" w:type="dxa"/>
          </w:tcPr>
          <w:p w:rsidR="00FF0340" w:rsidRPr="000951F1" w:rsidRDefault="00FF0340" w:rsidP="00092E09">
            <w:pPr>
              <w:jc w:val="center"/>
              <w:rPr>
                <w:rFonts w:cs="Arial"/>
                <w:color w:val="000000"/>
                <w:sz w:val="20"/>
                <w:szCs w:val="20"/>
                <w:lang w:eastAsia="es-CO"/>
              </w:rPr>
            </w:pPr>
            <w:r>
              <w:rPr>
                <w:rFonts w:cs="Arial"/>
                <w:color w:val="000000"/>
                <w:sz w:val="20"/>
                <w:szCs w:val="20"/>
                <w:lang w:eastAsia="es-CO"/>
              </w:rPr>
              <w:t>0/10</w:t>
            </w:r>
          </w:p>
        </w:tc>
        <w:tc>
          <w:tcPr>
            <w:tcW w:w="1332" w:type="dxa"/>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0</w:t>
            </w:r>
          </w:p>
        </w:tc>
        <w:tc>
          <w:tcPr>
            <w:tcW w:w="1418" w:type="dxa"/>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10</w:t>
            </w:r>
          </w:p>
        </w:tc>
        <w:tc>
          <w:tcPr>
            <w:tcW w:w="1275" w:type="dxa"/>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9</w:t>
            </w:r>
          </w:p>
        </w:tc>
      </w:tr>
      <w:tr w:rsidR="00FF0340" w:rsidRPr="00EE352C" w:rsidTr="00092E09">
        <w:trPr>
          <w:jc w:val="center"/>
        </w:trPr>
        <w:tc>
          <w:tcPr>
            <w:tcW w:w="2075" w:type="dxa"/>
            <w:tcBorders>
              <w:bottom w:val="single" w:sz="4" w:space="0" w:color="auto"/>
            </w:tcBorders>
          </w:tcPr>
          <w:p w:rsidR="00FF0340" w:rsidRPr="00EE352C" w:rsidRDefault="004E0B2D" w:rsidP="00092E09">
            <w:pPr>
              <w:jc w:val="center"/>
              <w:rPr>
                <w:rFonts w:ascii="Arial" w:hAnsi="Arial" w:cs="Arial"/>
                <w:b/>
                <w:sz w:val="20"/>
                <w:szCs w:val="20"/>
                <w:lang w:val="es-ES"/>
              </w:rPr>
            </w:pPr>
            <w:r>
              <w:rPr>
                <w:rFonts w:cs="Arial"/>
                <w:color w:val="000000"/>
                <w:sz w:val="20"/>
                <w:szCs w:val="20"/>
                <w:lang w:eastAsia="es-CO"/>
              </w:rPr>
              <w:t>Bowel movement</w:t>
            </w:r>
          </w:p>
        </w:tc>
        <w:tc>
          <w:tcPr>
            <w:tcW w:w="1332" w:type="dxa"/>
            <w:tcBorders>
              <w:bottom w:val="single" w:sz="4" w:space="0" w:color="auto"/>
            </w:tcBorders>
          </w:tcPr>
          <w:p w:rsidR="00FF0340" w:rsidRPr="000951F1" w:rsidRDefault="00FF0340" w:rsidP="00092E09">
            <w:pPr>
              <w:jc w:val="center"/>
              <w:rPr>
                <w:rFonts w:cs="Arial"/>
                <w:color w:val="000000"/>
                <w:sz w:val="20"/>
                <w:szCs w:val="20"/>
                <w:lang w:eastAsia="es-CO"/>
              </w:rPr>
            </w:pPr>
            <w:r>
              <w:rPr>
                <w:rFonts w:cs="Arial"/>
                <w:color w:val="000000"/>
                <w:sz w:val="20"/>
                <w:szCs w:val="20"/>
                <w:lang w:eastAsia="es-CO"/>
              </w:rPr>
              <w:t>0/10</w:t>
            </w:r>
          </w:p>
        </w:tc>
        <w:tc>
          <w:tcPr>
            <w:tcW w:w="1332" w:type="dxa"/>
            <w:tcBorders>
              <w:bottom w:val="single" w:sz="4" w:space="0" w:color="auto"/>
            </w:tcBorders>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5</w:t>
            </w:r>
          </w:p>
        </w:tc>
        <w:tc>
          <w:tcPr>
            <w:tcW w:w="1418" w:type="dxa"/>
            <w:tcBorders>
              <w:bottom w:val="single" w:sz="4" w:space="0" w:color="auto"/>
            </w:tcBorders>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10</w:t>
            </w:r>
          </w:p>
        </w:tc>
        <w:tc>
          <w:tcPr>
            <w:tcW w:w="1275" w:type="dxa"/>
            <w:tcBorders>
              <w:bottom w:val="single" w:sz="4" w:space="0" w:color="auto"/>
            </w:tcBorders>
          </w:tcPr>
          <w:p w:rsidR="00FF0340" w:rsidRPr="00EE352C" w:rsidRDefault="00FF0340" w:rsidP="00092E09">
            <w:pPr>
              <w:jc w:val="center"/>
              <w:rPr>
                <w:rFonts w:ascii="Arial" w:hAnsi="Arial" w:cs="Arial"/>
                <w:b/>
                <w:sz w:val="20"/>
                <w:szCs w:val="20"/>
                <w:lang w:val="es-ES"/>
              </w:rPr>
            </w:pPr>
            <w:r w:rsidRPr="000951F1">
              <w:rPr>
                <w:rFonts w:cs="Arial"/>
                <w:color w:val="000000"/>
                <w:sz w:val="20"/>
                <w:szCs w:val="20"/>
                <w:lang w:eastAsia="es-CO"/>
              </w:rPr>
              <w:t>10</w:t>
            </w:r>
          </w:p>
        </w:tc>
      </w:tr>
    </w:tbl>
    <w:p w:rsidR="00FF0340" w:rsidRPr="00DE7DA5" w:rsidRDefault="00DE7DA5" w:rsidP="000324C0">
      <w:pPr>
        <w:spacing w:after="0" w:line="240" w:lineRule="auto"/>
        <w:ind w:firstLine="708"/>
        <w:jc w:val="both"/>
        <w:rPr>
          <w:rFonts w:ascii="Arial" w:hAnsi="Arial" w:cs="Arial"/>
          <w:i/>
          <w:sz w:val="20"/>
          <w:szCs w:val="20"/>
          <w:lang w:val="en-US"/>
        </w:rPr>
      </w:pPr>
      <w:r w:rsidRPr="00DE7DA5">
        <w:rPr>
          <w:rFonts w:ascii="Arial" w:hAnsi="Arial" w:cs="Arial"/>
          <w:i/>
          <w:sz w:val="20"/>
          <w:szCs w:val="20"/>
          <w:lang w:val="en-US"/>
        </w:rPr>
        <w:t>Theoretical Mí/Max</w:t>
      </w:r>
      <w:r w:rsidR="00FF0340" w:rsidRPr="00DE7DA5">
        <w:rPr>
          <w:rFonts w:ascii="Arial" w:hAnsi="Arial" w:cs="Arial"/>
          <w:i/>
          <w:sz w:val="20"/>
          <w:szCs w:val="20"/>
          <w:lang w:val="en-US"/>
        </w:rPr>
        <w:t xml:space="preserve">= </w:t>
      </w:r>
      <w:r w:rsidRPr="00DE7DA5">
        <w:rPr>
          <w:rFonts w:ascii="Arial" w:hAnsi="Arial" w:cs="Arial"/>
          <w:i/>
          <w:sz w:val="20"/>
          <w:szCs w:val="20"/>
          <w:lang w:val="en-US"/>
        </w:rPr>
        <w:t>mínimum and maximum possible theoretical values</w:t>
      </w:r>
      <w:r>
        <w:rPr>
          <w:rFonts w:ascii="Arial" w:hAnsi="Arial" w:cs="Arial"/>
          <w:i/>
          <w:sz w:val="20"/>
          <w:szCs w:val="20"/>
          <w:lang w:val="en-US"/>
        </w:rPr>
        <w:t xml:space="preserve"> </w:t>
      </w:r>
      <w:r w:rsidRPr="00DE7DA5">
        <w:rPr>
          <w:rFonts w:ascii="Arial" w:hAnsi="Arial" w:cs="Arial"/>
          <w:i/>
          <w:sz w:val="20"/>
          <w:szCs w:val="20"/>
          <w:lang w:val="en-US"/>
        </w:rPr>
        <w:t>i</w:t>
      </w:r>
      <w:r>
        <w:rPr>
          <w:rFonts w:ascii="Arial" w:hAnsi="Arial" w:cs="Arial"/>
          <w:i/>
          <w:sz w:val="20"/>
          <w:szCs w:val="20"/>
          <w:lang w:val="en-US"/>
        </w:rPr>
        <w:t>n</w:t>
      </w:r>
      <w:r w:rsidRPr="00DE7DA5">
        <w:rPr>
          <w:rFonts w:ascii="Arial" w:hAnsi="Arial" w:cs="Arial"/>
          <w:i/>
          <w:sz w:val="20"/>
          <w:szCs w:val="20"/>
          <w:lang w:val="en-US"/>
        </w:rPr>
        <w:t xml:space="preserve"> the Barthel Index.</w:t>
      </w:r>
      <w:r w:rsidR="00FF0340" w:rsidRPr="00DE7DA5">
        <w:rPr>
          <w:rFonts w:ascii="Arial" w:eastAsia="BellCentennialBT-Address" w:hAnsi="Arial" w:cs="Arial"/>
          <w:i/>
          <w:sz w:val="20"/>
          <w:szCs w:val="20"/>
          <w:lang w:val="en-US"/>
        </w:rPr>
        <w:t>.</w:t>
      </w:r>
    </w:p>
    <w:p w:rsidR="00DE7DA5" w:rsidRDefault="00DE7DA5" w:rsidP="00DE7DA5">
      <w:pPr>
        <w:spacing w:after="0" w:line="240" w:lineRule="auto"/>
        <w:ind w:firstLine="708"/>
        <w:jc w:val="both"/>
        <w:rPr>
          <w:rFonts w:ascii="Arial" w:hAnsi="Arial" w:cs="Arial"/>
          <w:i/>
          <w:sz w:val="20"/>
          <w:szCs w:val="20"/>
          <w:lang w:val="en-US"/>
        </w:rPr>
      </w:pPr>
      <w:r w:rsidRPr="0044653F">
        <w:rPr>
          <w:rFonts w:ascii="Arial" w:hAnsi="Arial" w:cs="Arial"/>
          <w:i/>
          <w:sz w:val="20"/>
          <w:szCs w:val="20"/>
          <w:lang w:val="en-US"/>
        </w:rPr>
        <w:t xml:space="preserve">Source: </w:t>
      </w:r>
      <w:r>
        <w:rPr>
          <w:rFonts w:ascii="Arial" w:hAnsi="Arial" w:cs="Arial"/>
          <w:i/>
          <w:sz w:val="20"/>
          <w:szCs w:val="20"/>
          <w:lang w:val="en-US"/>
        </w:rPr>
        <w:t>elaborat</w:t>
      </w:r>
      <w:r w:rsidRPr="0044653F">
        <w:rPr>
          <w:rFonts w:ascii="Arial" w:hAnsi="Arial" w:cs="Arial"/>
          <w:i/>
          <w:sz w:val="20"/>
          <w:szCs w:val="20"/>
          <w:lang w:val="en-US"/>
        </w:rPr>
        <w:t>ed by the author</w:t>
      </w:r>
      <w:r w:rsidRPr="00B47062">
        <w:rPr>
          <w:rFonts w:ascii="Arial" w:hAnsi="Arial" w:cs="Arial"/>
          <w:i/>
          <w:sz w:val="20"/>
          <w:szCs w:val="20"/>
          <w:lang w:val="en-US"/>
        </w:rPr>
        <w:t>.</w:t>
      </w:r>
      <w:r w:rsidR="000324C0">
        <w:rPr>
          <w:rFonts w:ascii="Arial" w:hAnsi="Arial" w:cs="Arial"/>
          <w:i/>
          <w:sz w:val="20"/>
          <w:szCs w:val="20"/>
          <w:lang w:val="en-US"/>
        </w:rPr>
        <w:t xml:space="preserve"> </w:t>
      </w:r>
    </w:p>
    <w:p w:rsidR="00941E30" w:rsidRPr="00B47062" w:rsidRDefault="00941E30" w:rsidP="00DE7DA5">
      <w:pPr>
        <w:spacing w:after="0" w:line="240" w:lineRule="auto"/>
        <w:ind w:firstLine="708"/>
        <w:jc w:val="both"/>
        <w:rPr>
          <w:rFonts w:ascii="Arial" w:hAnsi="Arial" w:cs="Arial"/>
          <w:i/>
          <w:sz w:val="20"/>
          <w:szCs w:val="20"/>
          <w:lang w:val="en-US"/>
        </w:rPr>
      </w:pPr>
    </w:p>
    <w:p w:rsidR="000324C0" w:rsidRDefault="000324C0" w:rsidP="00C85E29">
      <w:pPr>
        <w:tabs>
          <w:tab w:val="left" w:pos="1083"/>
        </w:tabs>
        <w:spacing w:line="240" w:lineRule="auto"/>
        <w:jc w:val="both"/>
        <w:rPr>
          <w:rFonts w:ascii="Arial" w:hAnsi="Arial" w:cs="Arial"/>
          <w:sz w:val="24"/>
          <w:szCs w:val="24"/>
          <w:lang w:val="en-US"/>
        </w:rPr>
      </w:pPr>
    </w:p>
    <w:p w:rsidR="00C85E29" w:rsidRDefault="00FB3CFC" w:rsidP="00C85E29">
      <w:pPr>
        <w:tabs>
          <w:tab w:val="left" w:pos="1083"/>
        </w:tabs>
        <w:spacing w:line="240" w:lineRule="auto"/>
        <w:jc w:val="both"/>
        <w:rPr>
          <w:rFonts w:ascii="Arial" w:hAnsi="Arial" w:cs="Arial"/>
          <w:sz w:val="24"/>
          <w:szCs w:val="24"/>
          <w:lang w:val="en-US"/>
        </w:rPr>
      </w:pPr>
      <w:r w:rsidRPr="003855EB">
        <w:rPr>
          <w:rFonts w:ascii="Arial" w:hAnsi="Arial" w:cs="Arial"/>
          <w:sz w:val="24"/>
          <w:szCs w:val="24"/>
          <w:lang w:val="en-US"/>
        </w:rPr>
        <w:t xml:space="preserve">When analyzing the existing associations </w:t>
      </w:r>
      <w:r w:rsidR="001A3E8C">
        <w:rPr>
          <w:rFonts w:ascii="Arial" w:hAnsi="Arial" w:cs="Arial"/>
          <w:sz w:val="24"/>
          <w:szCs w:val="24"/>
          <w:lang w:val="en-US"/>
        </w:rPr>
        <w:t xml:space="preserve">among the </w:t>
      </w:r>
      <w:r w:rsidR="003855EB" w:rsidRPr="003855EB">
        <w:rPr>
          <w:rFonts w:ascii="Arial" w:hAnsi="Arial" w:cs="Arial"/>
          <w:sz w:val="24"/>
          <w:szCs w:val="24"/>
          <w:lang w:val="en-US"/>
        </w:rPr>
        <w:t xml:space="preserve">health </w:t>
      </w:r>
      <w:r w:rsidR="003855EB">
        <w:rPr>
          <w:rFonts w:ascii="Arial" w:hAnsi="Arial" w:cs="Arial"/>
          <w:sz w:val="24"/>
          <w:szCs w:val="24"/>
          <w:lang w:val="en-US"/>
        </w:rPr>
        <w:t>promoting</w:t>
      </w:r>
      <w:r w:rsidR="003855EB" w:rsidRPr="003855EB">
        <w:rPr>
          <w:rFonts w:ascii="Arial" w:hAnsi="Arial" w:cs="Arial"/>
          <w:sz w:val="24"/>
          <w:szCs w:val="24"/>
          <w:lang w:val="en-US"/>
        </w:rPr>
        <w:t xml:space="preserve"> behaviors (as a </w:t>
      </w:r>
      <w:r w:rsidR="003855EB">
        <w:rPr>
          <w:rFonts w:ascii="Arial" w:hAnsi="Arial" w:cs="Arial"/>
          <w:sz w:val="24"/>
          <w:szCs w:val="24"/>
          <w:lang w:val="en-US"/>
        </w:rPr>
        <w:t xml:space="preserve">dependent variable) through a global score of the </w:t>
      </w:r>
      <w:r w:rsidR="001A3E8C">
        <w:rPr>
          <w:rFonts w:ascii="Arial" w:hAnsi="Arial" w:cs="Arial"/>
          <w:sz w:val="24"/>
          <w:szCs w:val="24"/>
          <w:lang w:val="en-US"/>
        </w:rPr>
        <w:t xml:space="preserve">health-promoting lifestyle Profile II scale with the socio-demographic and clinical variables, there were </w:t>
      </w:r>
      <w:r w:rsidR="00AA140E">
        <w:rPr>
          <w:rFonts w:ascii="Arial" w:hAnsi="Arial" w:cs="Arial"/>
          <w:sz w:val="24"/>
          <w:szCs w:val="24"/>
          <w:lang w:val="en-US"/>
        </w:rPr>
        <w:t>statistically significant</w:t>
      </w:r>
      <w:r w:rsidR="00AA140E" w:rsidRPr="00AA140E">
        <w:rPr>
          <w:rFonts w:ascii="Arial" w:hAnsi="Arial" w:cs="Arial"/>
          <w:sz w:val="24"/>
          <w:szCs w:val="24"/>
          <w:lang w:val="en-US"/>
        </w:rPr>
        <w:t xml:space="preserve"> </w:t>
      </w:r>
      <w:r w:rsidR="00AA140E">
        <w:rPr>
          <w:rFonts w:ascii="Arial" w:hAnsi="Arial" w:cs="Arial"/>
          <w:sz w:val="24"/>
          <w:szCs w:val="24"/>
          <w:lang w:val="en-US"/>
        </w:rPr>
        <w:t>differences</w:t>
      </w:r>
      <w:r w:rsidR="009E255B">
        <w:rPr>
          <w:rFonts w:ascii="Arial" w:hAnsi="Arial" w:cs="Arial"/>
          <w:sz w:val="24"/>
          <w:szCs w:val="24"/>
          <w:lang w:val="en-US"/>
        </w:rPr>
        <w:t xml:space="preserve"> between them. Nevertheless, the analysis of </w:t>
      </w:r>
      <w:r w:rsidR="00321F6C">
        <w:rPr>
          <w:rFonts w:ascii="Arial" w:hAnsi="Arial" w:cs="Arial"/>
          <w:sz w:val="24"/>
          <w:szCs w:val="24"/>
          <w:lang w:val="en-US"/>
        </w:rPr>
        <w:t>health-promoting lifestyle p</w:t>
      </w:r>
      <w:r w:rsidR="009E255B">
        <w:rPr>
          <w:rFonts w:ascii="Arial" w:hAnsi="Arial" w:cs="Arial"/>
          <w:sz w:val="24"/>
          <w:szCs w:val="24"/>
          <w:lang w:val="en-US"/>
        </w:rPr>
        <w:t>rofile</w:t>
      </w:r>
      <w:r w:rsidR="00321F6C">
        <w:rPr>
          <w:rFonts w:ascii="Arial" w:hAnsi="Arial" w:cs="Arial"/>
          <w:sz w:val="24"/>
          <w:szCs w:val="24"/>
          <w:lang w:val="en-US"/>
        </w:rPr>
        <w:t xml:space="preserve"> questionnaire which presented</w:t>
      </w:r>
      <w:r w:rsidR="009E255B">
        <w:rPr>
          <w:rFonts w:ascii="Arial" w:hAnsi="Arial" w:cs="Arial"/>
          <w:sz w:val="24"/>
          <w:szCs w:val="24"/>
          <w:lang w:val="en-US"/>
        </w:rPr>
        <w:t xml:space="preserve"> the same variables, showed significant differences </w:t>
      </w:r>
      <w:r w:rsidR="00C85E29">
        <w:rPr>
          <w:rFonts w:ascii="Arial" w:hAnsi="Arial" w:cs="Arial"/>
          <w:sz w:val="24"/>
          <w:szCs w:val="24"/>
          <w:lang w:val="en-US"/>
        </w:rPr>
        <w:t>regarding</w:t>
      </w:r>
      <w:r w:rsidR="00321F6C">
        <w:rPr>
          <w:rFonts w:ascii="Arial" w:hAnsi="Arial" w:cs="Arial"/>
          <w:sz w:val="24"/>
          <w:szCs w:val="24"/>
          <w:lang w:val="en-US"/>
        </w:rPr>
        <w:t xml:space="preserve"> </w:t>
      </w:r>
      <w:r w:rsidR="009E255B">
        <w:rPr>
          <w:rFonts w:ascii="Arial" w:hAnsi="Arial" w:cs="Arial"/>
          <w:sz w:val="24"/>
          <w:szCs w:val="24"/>
          <w:lang w:val="en-US"/>
        </w:rPr>
        <w:t>age group (mature adults and elderly adults)</w:t>
      </w:r>
      <w:r w:rsidR="00C85E29">
        <w:rPr>
          <w:rFonts w:ascii="Arial" w:hAnsi="Arial" w:cs="Arial"/>
          <w:sz w:val="24"/>
          <w:szCs w:val="24"/>
          <w:lang w:val="en-US"/>
        </w:rPr>
        <w:t>,</w:t>
      </w:r>
      <w:r w:rsidR="001E3F0F">
        <w:rPr>
          <w:rFonts w:ascii="Arial" w:hAnsi="Arial" w:cs="Arial"/>
          <w:sz w:val="24"/>
          <w:szCs w:val="24"/>
          <w:lang w:val="en-US"/>
        </w:rPr>
        <w:t xml:space="preserve"> the nutrition dimension </w:t>
      </w:r>
      <w:r w:rsidR="001E3F0F" w:rsidRPr="001E3F0F">
        <w:rPr>
          <w:rFonts w:ascii="Arial" w:hAnsi="Arial" w:cs="Arial"/>
          <w:sz w:val="24"/>
          <w:szCs w:val="24"/>
          <w:lang w:val="en-US"/>
        </w:rPr>
        <w:t>(p= 0,038)</w:t>
      </w:r>
      <w:r w:rsidR="00C85E29">
        <w:rPr>
          <w:rFonts w:ascii="Arial" w:hAnsi="Arial" w:cs="Arial"/>
          <w:sz w:val="24"/>
          <w:szCs w:val="24"/>
          <w:lang w:val="en-US"/>
        </w:rPr>
        <w:t xml:space="preserve">, </w:t>
      </w:r>
      <w:r w:rsidR="001E3F0F">
        <w:rPr>
          <w:rFonts w:ascii="Arial" w:hAnsi="Arial" w:cs="Arial"/>
          <w:sz w:val="24"/>
          <w:szCs w:val="24"/>
          <w:lang w:val="en-US"/>
        </w:rPr>
        <w:t xml:space="preserve">and the stress management </w:t>
      </w:r>
      <w:r w:rsidR="00866495" w:rsidRPr="00866495">
        <w:rPr>
          <w:rFonts w:ascii="Arial" w:hAnsi="Arial" w:cs="Arial"/>
          <w:sz w:val="24"/>
          <w:szCs w:val="24"/>
          <w:lang w:val="en-US"/>
        </w:rPr>
        <w:t>(p= 0,048)</w:t>
      </w:r>
      <w:r w:rsidR="00C85E29">
        <w:rPr>
          <w:rFonts w:ascii="Arial" w:hAnsi="Arial" w:cs="Arial"/>
          <w:sz w:val="24"/>
          <w:szCs w:val="24"/>
          <w:lang w:val="en-US"/>
        </w:rPr>
        <w:t xml:space="preserve">; </w:t>
      </w:r>
      <w:r w:rsidR="00321F6C">
        <w:rPr>
          <w:rFonts w:ascii="Arial" w:hAnsi="Arial" w:cs="Arial"/>
          <w:sz w:val="24"/>
          <w:szCs w:val="24"/>
          <w:lang w:val="en-US"/>
        </w:rPr>
        <w:t>t</w:t>
      </w:r>
      <w:r w:rsidR="00866495">
        <w:rPr>
          <w:rFonts w:ascii="Arial" w:hAnsi="Arial" w:cs="Arial"/>
          <w:sz w:val="24"/>
          <w:szCs w:val="24"/>
          <w:lang w:val="en-US"/>
        </w:rPr>
        <w:t>he use of supplementary oxygen</w:t>
      </w:r>
      <w:r w:rsidR="00C85E29">
        <w:rPr>
          <w:rFonts w:ascii="Arial" w:hAnsi="Arial" w:cs="Arial"/>
          <w:sz w:val="24"/>
          <w:szCs w:val="24"/>
          <w:lang w:val="en-US"/>
        </w:rPr>
        <w:t>,</w:t>
      </w:r>
      <w:r w:rsidR="00866495">
        <w:rPr>
          <w:rFonts w:ascii="Arial" w:hAnsi="Arial" w:cs="Arial"/>
          <w:sz w:val="24"/>
          <w:szCs w:val="24"/>
          <w:lang w:val="en-US"/>
        </w:rPr>
        <w:t xml:space="preserve"> and the dimension of physical activity (O2 requiring patient</w:t>
      </w:r>
      <w:r w:rsidR="00321F6C">
        <w:rPr>
          <w:rFonts w:ascii="Arial" w:hAnsi="Arial" w:cs="Arial"/>
          <w:sz w:val="24"/>
          <w:szCs w:val="24"/>
          <w:lang w:val="en-US"/>
        </w:rPr>
        <w:t xml:space="preserve"> </w:t>
      </w:r>
      <w:r w:rsidR="00321F6C" w:rsidRPr="00321F6C">
        <w:rPr>
          <w:rFonts w:ascii="Arial" w:hAnsi="Arial" w:cs="Arial"/>
          <w:sz w:val="24"/>
          <w:szCs w:val="24"/>
          <w:lang w:val="en-US"/>
        </w:rPr>
        <w:t>p= 0,011 – O2</w:t>
      </w:r>
      <w:r w:rsidR="00321F6C">
        <w:rPr>
          <w:rFonts w:ascii="Arial" w:hAnsi="Arial" w:cs="Arial"/>
          <w:sz w:val="24"/>
          <w:szCs w:val="24"/>
          <w:lang w:val="en-US"/>
        </w:rPr>
        <w:t xml:space="preserve"> dependent patient </w:t>
      </w:r>
      <w:r w:rsidR="00321F6C" w:rsidRPr="00321F6C">
        <w:rPr>
          <w:rFonts w:ascii="Arial" w:hAnsi="Arial" w:cs="Arial"/>
          <w:sz w:val="24"/>
          <w:szCs w:val="24"/>
          <w:lang w:val="en-US"/>
        </w:rPr>
        <w:t>p= 0,037);</w:t>
      </w:r>
      <w:r w:rsidR="00321F6C">
        <w:rPr>
          <w:rFonts w:ascii="Arial" w:hAnsi="Arial" w:cs="Arial"/>
          <w:sz w:val="24"/>
          <w:szCs w:val="24"/>
          <w:lang w:val="en-US"/>
        </w:rPr>
        <w:t xml:space="preserve"> the exposure to biomass smoke with the dimensions of responsibility and health </w:t>
      </w:r>
      <w:r w:rsidR="00321F6C" w:rsidRPr="00321F6C">
        <w:rPr>
          <w:rFonts w:ascii="Arial" w:hAnsi="Arial" w:cs="Arial"/>
          <w:sz w:val="24"/>
          <w:szCs w:val="24"/>
          <w:lang w:val="en-US"/>
        </w:rPr>
        <w:t>(p= 0,0251)</w:t>
      </w:r>
      <w:r w:rsidR="00C85E29">
        <w:rPr>
          <w:rFonts w:ascii="Arial" w:hAnsi="Arial" w:cs="Arial"/>
          <w:sz w:val="24"/>
          <w:szCs w:val="24"/>
          <w:lang w:val="en-US"/>
        </w:rPr>
        <w:t>;</w:t>
      </w:r>
      <w:r w:rsidR="00321F6C">
        <w:rPr>
          <w:rFonts w:ascii="Arial" w:hAnsi="Arial" w:cs="Arial"/>
          <w:sz w:val="24"/>
          <w:szCs w:val="24"/>
          <w:lang w:val="en-US"/>
        </w:rPr>
        <w:t xml:space="preserve"> spiritual growth </w:t>
      </w:r>
      <w:r w:rsidR="00321F6C" w:rsidRPr="00321F6C">
        <w:rPr>
          <w:rFonts w:ascii="Arial" w:hAnsi="Arial" w:cs="Arial"/>
          <w:sz w:val="24"/>
          <w:szCs w:val="24"/>
          <w:lang w:val="en-US"/>
        </w:rPr>
        <w:t>(p= 0,0002),</w:t>
      </w:r>
      <w:r w:rsidR="00321F6C">
        <w:rPr>
          <w:rFonts w:ascii="Arial" w:hAnsi="Arial" w:cs="Arial"/>
          <w:sz w:val="24"/>
          <w:szCs w:val="24"/>
          <w:lang w:val="en-US"/>
        </w:rPr>
        <w:t xml:space="preserve"> interpersonal relationships </w:t>
      </w:r>
      <w:r w:rsidR="00321F6C" w:rsidRPr="00321F6C">
        <w:rPr>
          <w:rFonts w:ascii="Arial" w:hAnsi="Arial" w:cs="Arial"/>
          <w:sz w:val="24"/>
          <w:szCs w:val="24"/>
          <w:lang w:val="en-US"/>
        </w:rPr>
        <w:t>(p= 0,0113)</w:t>
      </w:r>
      <w:r w:rsidR="00C85E29">
        <w:rPr>
          <w:rFonts w:ascii="Arial" w:hAnsi="Arial" w:cs="Arial"/>
          <w:sz w:val="24"/>
          <w:szCs w:val="24"/>
          <w:lang w:val="en-US"/>
        </w:rPr>
        <w:t>,</w:t>
      </w:r>
      <w:r w:rsidR="00321F6C">
        <w:rPr>
          <w:rFonts w:ascii="Arial" w:hAnsi="Arial" w:cs="Arial"/>
          <w:sz w:val="24"/>
          <w:szCs w:val="24"/>
          <w:lang w:val="en-US"/>
        </w:rPr>
        <w:t xml:space="preserve"> and stress management </w:t>
      </w:r>
      <w:r w:rsidR="00321F6C" w:rsidRPr="00321F6C">
        <w:rPr>
          <w:rFonts w:ascii="Arial" w:hAnsi="Arial" w:cs="Arial"/>
          <w:sz w:val="24"/>
          <w:szCs w:val="24"/>
          <w:lang w:val="en-US"/>
        </w:rPr>
        <w:t>(p= 0,0127) (Tabl</w:t>
      </w:r>
      <w:r w:rsidR="00321F6C">
        <w:rPr>
          <w:rFonts w:ascii="Arial" w:hAnsi="Arial" w:cs="Arial"/>
          <w:sz w:val="24"/>
          <w:szCs w:val="24"/>
          <w:lang w:val="en-US"/>
        </w:rPr>
        <w:t>e</w:t>
      </w:r>
      <w:r w:rsidR="00321F6C" w:rsidRPr="00321F6C">
        <w:rPr>
          <w:rFonts w:ascii="Arial" w:hAnsi="Arial" w:cs="Arial"/>
          <w:sz w:val="24"/>
          <w:szCs w:val="24"/>
          <w:lang w:val="en-US"/>
        </w:rPr>
        <w:t xml:space="preserve"> 4).</w:t>
      </w:r>
    </w:p>
    <w:p w:rsidR="00C85E29" w:rsidRPr="00C85E29" w:rsidRDefault="00C85E29" w:rsidP="00C85E29">
      <w:pPr>
        <w:tabs>
          <w:tab w:val="left" w:pos="1083"/>
        </w:tabs>
        <w:spacing w:line="240" w:lineRule="auto"/>
        <w:jc w:val="both"/>
        <w:rPr>
          <w:rFonts w:ascii="Arial" w:hAnsi="Arial" w:cs="Arial"/>
          <w:sz w:val="24"/>
          <w:szCs w:val="24"/>
          <w:lang w:val="en-US"/>
        </w:rPr>
      </w:pPr>
      <w:r w:rsidRPr="00C85E29">
        <w:rPr>
          <w:rFonts w:ascii="Arial" w:hAnsi="Arial" w:cs="Arial"/>
          <w:sz w:val="24"/>
          <w:szCs w:val="24"/>
          <w:lang w:val="en-US"/>
        </w:rPr>
        <w:t xml:space="preserve">Regarding the physical dependence, there were only </w:t>
      </w:r>
      <w:r w:rsidR="00AA140E">
        <w:rPr>
          <w:rFonts w:ascii="Arial" w:hAnsi="Arial" w:cs="Arial"/>
          <w:sz w:val="24"/>
          <w:szCs w:val="24"/>
          <w:lang w:val="en-US"/>
        </w:rPr>
        <w:t>statistically significant</w:t>
      </w:r>
      <w:r w:rsidR="00AA140E" w:rsidRPr="00AA140E">
        <w:rPr>
          <w:rFonts w:ascii="Arial" w:hAnsi="Arial" w:cs="Arial"/>
          <w:sz w:val="24"/>
          <w:szCs w:val="24"/>
          <w:lang w:val="en-US"/>
        </w:rPr>
        <w:t xml:space="preserve"> </w:t>
      </w:r>
      <w:r w:rsidR="00AA140E">
        <w:rPr>
          <w:rFonts w:ascii="Arial" w:hAnsi="Arial" w:cs="Arial"/>
          <w:sz w:val="24"/>
          <w:szCs w:val="24"/>
          <w:lang w:val="en-US"/>
        </w:rPr>
        <w:t xml:space="preserve">differences </w:t>
      </w:r>
      <w:r w:rsidR="00CE59E0">
        <w:rPr>
          <w:rFonts w:ascii="Arial" w:hAnsi="Arial" w:cs="Arial"/>
          <w:sz w:val="24"/>
          <w:szCs w:val="24"/>
          <w:lang w:val="en-US"/>
        </w:rPr>
        <w:t xml:space="preserve">in </w:t>
      </w:r>
      <w:r>
        <w:rPr>
          <w:rFonts w:ascii="Arial" w:hAnsi="Arial" w:cs="Arial"/>
          <w:sz w:val="24"/>
          <w:szCs w:val="24"/>
          <w:lang w:val="en-US"/>
        </w:rPr>
        <w:t>th</w:t>
      </w:r>
      <w:r w:rsidRPr="00C85E29">
        <w:rPr>
          <w:rFonts w:ascii="Arial" w:hAnsi="Arial" w:cs="Arial"/>
          <w:sz w:val="24"/>
          <w:szCs w:val="24"/>
          <w:lang w:val="en-US"/>
        </w:rPr>
        <w:t xml:space="preserve">is variable </w:t>
      </w:r>
      <w:r>
        <w:rPr>
          <w:rFonts w:ascii="Arial" w:hAnsi="Arial" w:cs="Arial"/>
          <w:sz w:val="24"/>
          <w:szCs w:val="24"/>
          <w:lang w:val="en-US"/>
        </w:rPr>
        <w:t xml:space="preserve">between this variable with the use of oxygen </w:t>
      </w:r>
      <w:r w:rsidRPr="00C85E29">
        <w:rPr>
          <w:rFonts w:ascii="Arial" w:hAnsi="Arial" w:cs="Arial"/>
          <w:sz w:val="24"/>
          <w:szCs w:val="24"/>
          <w:lang w:val="en-US"/>
        </w:rPr>
        <w:t>(p= 0</w:t>
      </w:r>
      <w:r w:rsidRPr="00C85E29">
        <w:rPr>
          <w:rFonts w:ascii="Arial" w:hAnsi="Arial" w:cs="Arial"/>
          <w:color w:val="000000"/>
          <w:sz w:val="24"/>
          <w:szCs w:val="24"/>
          <w:lang w:val="en-US" w:eastAsia="es-CO"/>
        </w:rPr>
        <w:t>,000).</w:t>
      </w:r>
    </w:p>
    <w:p w:rsidR="00C85E29" w:rsidRPr="00D4577C" w:rsidRDefault="00C85E29" w:rsidP="00FF0340">
      <w:pPr>
        <w:jc w:val="both"/>
        <w:rPr>
          <w:rFonts w:ascii="Arial" w:hAnsi="Arial" w:cs="Arial"/>
          <w:b/>
          <w:i/>
          <w:noProof/>
          <w:sz w:val="20"/>
          <w:szCs w:val="20"/>
          <w:lang w:val="en-US" w:eastAsia="es-CO"/>
        </w:rPr>
      </w:pPr>
    </w:p>
    <w:p w:rsidR="00FF0340" w:rsidRDefault="00FF0340" w:rsidP="00FF0340">
      <w:pPr>
        <w:jc w:val="both"/>
        <w:rPr>
          <w:rFonts w:ascii="Arial" w:hAnsi="Arial" w:cs="Arial"/>
          <w:i/>
          <w:noProof/>
          <w:sz w:val="20"/>
          <w:szCs w:val="20"/>
          <w:lang w:val="en-US" w:eastAsia="es-CO"/>
        </w:rPr>
      </w:pPr>
      <w:r w:rsidRPr="00D4577C">
        <w:rPr>
          <w:rFonts w:ascii="Arial" w:hAnsi="Arial" w:cs="Arial"/>
          <w:b/>
          <w:i/>
          <w:noProof/>
          <w:sz w:val="20"/>
          <w:szCs w:val="20"/>
          <w:lang w:val="en-US" w:eastAsia="es-CO"/>
        </w:rPr>
        <w:t>Tabl</w:t>
      </w:r>
      <w:r w:rsidR="00C85E29" w:rsidRPr="00D4577C">
        <w:rPr>
          <w:rFonts w:ascii="Arial" w:hAnsi="Arial" w:cs="Arial"/>
          <w:b/>
          <w:i/>
          <w:noProof/>
          <w:sz w:val="20"/>
          <w:szCs w:val="20"/>
          <w:lang w:val="en-US" w:eastAsia="es-CO"/>
        </w:rPr>
        <w:t xml:space="preserve">e </w:t>
      </w:r>
      <w:r w:rsidRPr="00D4577C">
        <w:rPr>
          <w:rFonts w:ascii="Arial" w:hAnsi="Arial" w:cs="Arial"/>
          <w:b/>
          <w:i/>
          <w:noProof/>
          <w:sz w:val="20"/>
          <w:szCs w:val="20"/>
          <w:lang w:val="en-US" w:eastAsia="es-CO"/>
        </w:rPr>
        <w:t xml:space="preserve"> 4.</w:t>
      </w:r>
      <w:r w:rsidRPr="00D4577C">
        <w:rPr>
          <w:rFonts w:ascii="Arial" w:hAnsi="Arial" w:cs="Arial"/>
          <w:i/>
          <w:noProof/>
          <w:sz w:val="20"/>
          <w:szCs w:val="20"/>
          <w:lang w:val="en-US" w:eastAsia="es-CO"/>
        </w:rPr>
        <w:t xml:space="preserve"> </w:t>
      </w:r>
      <w:r w:rsidR="0014313D" w:rsidRPr="00D4577C">
        <w:rPr>
          <w:rFonts w:ascii="Arial" w:hAnsi="Arial" w:cs="Arial"/>
          <w:i/>
          <w:noProof/>
          <w:sz w:val="20"/>
          <w:szCs w:val="20"/>
          <w:lang w:val="en-US" w:eastAsia="es-CO"/>
        </w:rPr>
        <w:t>Health-promoting lifestyle Profile II scale d</w:t>
      </w:r>
      <w:r w:rsidRPr="00D4577C">
        <w:rPr>
          <w:rFonts w:ascii="Arial" w:hAnsi="Arial" w:cs="Arial"/>
          <w:i/>
          <w:noProof/>
          <w:sz w:val="20"/>
          <w:szCs w:val="20"/>
          <w:lang w:val="en-US" w:eastAsia="es-CO"/>
        </w:rPr>
        <w:t>imensions</w:t>
      </w:r>
      <w:r w:rsidR="0014313D" w:rsidRPr="00D4577C">
        <w:rPr>
          <w:rFonts w:ascii="Arial" w:hAnsi="Arial" w:cs="Arial"/>
          <w:i/>
          <w:noProof/>
          <w:sz w:val="20"/>
          <w:szCs w:val="20"/>
          <w:lang w:val="en-US" w:eastAsia="es-CO"/>
        </w:rPr>
        <w:t xml:space="preserve"> and their association with the sociodemographic and clinical characteristics.</w:t>
      </w:r>
      <w:r w:rsidRPr="00D4577C">
        <w:rPr>
          <w:rFonts w:ascii="Arial" w:hAnsi="Arial" w:cs="Arial"/>
          <w:i/>
          <w:noProof/>
          <w:sz w:val="20"/>
          <w:szCs w:val="20"/>
          <w:lang w:val="en-US" w:eastAsia="es-CO"/>
        </w:rPr>
        <w:t xml:space="preserve"> </w:t>
      </w:r>
    </w:p>
    <w:p w:rsidR="000324C0" w:rsidRPr="00D4577C" w:rsidRDefault="000324C0" w:rsidP="00FF0340">
      <w:pPr>
        <w:jc w:val="both"/>
        <w:rPr>
          <w:rFonts w:ascii="Arial" w:hAnsi="Arial" w:cs="Arial"/>
          <w:i/>
          <w:noProof/>
          <w:sz w:val="20"/>
          <w:szCs w:val="20"/>
          <w:lang w:val="en-US" w:eastAsia="es-CO"/>
        </w:rPr>
      </w:pPr>
    </w:p>
    <w:tbl>
      <w:tblPr>
        <w:tblStyle w:val="Tablaconcuadrcula"/>
        <w:tblW w:w="107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1"/>
        <w:gridCol w:w="1701"/>
        <w:gridCol w:w="1134"/>
        <w:gridCol w:w="1134"/>
        <w:gridCol w:w="1138"/>
        <w:gridCol w:w="1418"/>
        <w:gridCol w:w="1413"/>
      </w:tblGrid>
      <w:tr w:rsidR="00FF0340" w:rsidRPr="00E16D6E" w:rsidTr="00092E09">
        <w:trPr>
          <w:jc w:val="center"/>
        </w:trPr>
        <w:tc>
          <w:tcPr>
            <w:tcW w:w="2831" w:type="dxa"/>
            <w:vMerge w:val="restart"/>
            <w:tcBorders>
              <w:bottom w:val="single" w:sz="4" w:space="0" w:color="auto"/>
            </w:tcBorders>
            <w:shd w:val="clear" w:color="auto" w:fill="E2EFD9" w:themeFill="accent6" w:themeFillTint="33"/>
          </w:tcPr>
          <w:p w:rsidR="00FF0340" w:rsidRPr="00D4577C" w:rsidRDefault="00FF0340" w:rsidP="00092E09">
            <w:pPr>
              <w:jc w:val="center"/>
              <w:rPr>
                <w:rFonts w:ascii="Arial" w:hAnsi="Arial" w:cs="Arial"/>
                <w:sz w:val="20"/>
                <w:szCs w:val="20"/>
                <w:lang w:val="en-US"/>
              </w:rPr>
            </w:pPr>
          </w:p>
          <w:p w:rsidR="00FF0340" w:rsidRPr="00CE59E0" w:rsidRDefault="00FF0340" w:rsidP="00092E09">
            <w:pPr>
              <w:jc w:val="center"/>
              <w:rPr>
                <w:rFonts w:ascii="Arial" w:hAnsi="Arial" w:cs="Arial"/>
                <w:b/>
                <w:sz w:val="20"/>
                <w:szCs w:val="20"/>
                <w:lang w:val="es-ES"/>
              </w:rPr>
            </w:pPr>
            <w:r w:rsidRPr="00CE59E0">
              <w:rPr>
                <w:rFonts w:ascii="Arial" w:hAnsi="Arial" w:cs="Arial"/>
                <w:b/>
                <w:sz w:val="20"/>
                <w:szCs w:val="20"/>
                <w:lang w:val="es-ES"/>
              </w:rPr>
              <w:t>Variable</w:t>
            </w:r>
          </w:p>
        </w:tc>
        <w:tc>
          <w:tcPr>
            <w:tcW w:w="7938" w:type="dxa"/>
            <w:gridSpan w:val="6"/>
            <w:tcBorders>
              <w:bottom w:val="single" w:sz="4" w:space="0" w:color="auto"/>
            </w:tcBorders>
            <w:shd w:val="clear" w:color="auto" w:fill="E2EFD9" w:themeFill="accent6" w:themeFillTint="33"/>
          </w:tcPr>
          <w:p w:rsidR="00FF0340" w:rsidRPr="0014313D" w:rsidRDefault="0014313D" w:rsidP="00092E09">
            <w:pPr>
              <w:jc w:val="center"/>
              <w:rPr>
                <w:rFonts w:ascii="Arial" w:hAnsi="Arial" w:cs="Arial"/>
                <w:b/>
                <w:sz w:val="20"/>
                <w:szCs w:val="20"/>
                <w:lang w:val="en-US"/>
              </w:rPr>
            </w:pPr>
            <w:r w:rsidRPr="0014313D">
              <w:rPr>
                <w:rFonts w:ascii="Arial" w:hAnsi="Arial" w:cs="Arial"/>
                <w:b/>
                <w:sz w:val="20"/>
                <w:szCs w:val="20"/>
                <w:lang w:val="en-US"/>
              </w:rPr>
              <w:t xml:space="preserve">Health-promoting lifestyle Profile II scale dimensions </w:t>
            </w:r>
            <w:r w:rsidR="00FF0340" w:rsidRPr="0014313D">
              <w:rPr>
                <w:rFonts w:ascii="Arial" w:hAnsi="Arial" w:cs="Arial"/>
                <w:b/>
                <w:sz w:val="20"/>
                <w:szCs w:val="20"/>
                <w:lang w:val="en-US"/>
              </w:rPr>
              <w:t>(p Val</w:t>
            </w:r>
            <w:r>
              <w:rPr>
                <w:rFonts w:ascii="Arial" w:hAnsi="Arial" w:cs="Arial"/>
                <w:b/>
                <w:sz w:val="20"/>
                <w:szCs w:val="20"/>
                <w:lang w:val="en-US"/>
              </w:rPr>
              <w:t>ue</w:t>
            </w:r>
            <w:r w:rsidR="00FF0340" w:rsidRPr="0014313D">
              <w:rPr>
                <w:rFonts w:ascii="Arial" w:hAnsi="Arial" w:cs="Arial"/>
                <w:b/>
                <w:sz w:val="20"/>
                <w:szCs w:val="20"/>
                <w:lang w:val="en-US"/>
              </w:rPr>
              <w:t>)</w:t>
            </w:r>
          </w:p>
          <w:p w:rsidR="00FF0340" w:rsidRPr="0014313D" w:rsidRDefault="00FF0340" w:rsidP="00092E09">
            <w:pPr>
              <w:jc w:val="center"/>
              <w:rPr>
                <w:rFonts w:ascii="Arial" w:hAnsi="Arial" w:cs="Arial"/>
                <w:b/>
                <w:sz w:val="20"/>
                <w:szCs w:val="20"/>
                <w:lang w:val="en-US"/>
              </w:rPr>
            </w:pPr>
          </w:p>
        </w:tc>
      </w:tr>
      <w:tr w:rsidR="00FF0340" w:rsidRPr="00AF5C03" w:rsidTr="004025CE">
        <w:trPr>
          <w:jc w:val="center"/>
        </w:trPr>
        <w:tc>
          <w:tcPr>
            <w:tcW w:w="2831" w:type="dxa"/>
            <w:vMerge/>
            <w:tcBorders>
              <w:bottom w:val="single" w:sz="4" w:space="0" w:color="auto"/>
            </w:tcBorders>
            <w:shd w:val="clear" w:color="auto" w:fill="E2EFD9" w:themeFill="accent6" w:themeFillTint="33"/>
          </w:tcPr>
          <w:p w:rsidR="00FF0340" w:rsidRPr="0014313D" w:rsidRDefault="00FF0340" w:rsidP="00092E09">
            <w:pPr>
              <w:jc w:val="center"/>
              <w:rPr>
                <w:rFonts w:ascii="Arial" w:hAnsi="Arial" w:cs="Arial"/>
                <w:sz w:val="20"/>
                <w:szCs w:val="20"/>
                <w:lang w:val="en-US"/>
              </w:rPr>
            </w:pPr>
          </w:p>
        </w:tc>
        <w:tc>
          <w:tcPr>
            <w:tcW w:w="1701" w:type="dxa"/>
            <w:tcBorders>
              <w:top w:val="single" w:sz="4" w:space="0" w:color="auto"/>
              <w:bottom w:val="single" w:sz="4" w:space="0" w:color="auto"/>
            </w:tcBorders>
            <w:shd w:val="clear" w:color="auto" w:fill="E2EFD9" w:themeFill="accent6" w:themeFillTint="33"/>
          </w:tcPr>
          <w:p w:rsidR="00FF0340" w:rsidRPr="00AF5C03" w:rsidRDefault="004025CE" w:rsidP="00092E09">
            <w:pPr>
              <w:jc w:val="center"/>
              <w:rPr>
                <w:rFonts w:ascii="Arial" w:hAnsi="Arial" w:cs="Arial"/>
                <w:b/>
                <w:sz w:val="18"/>
                <w:szCs w:val="18"/>
                <w:lang w:val="es-ES"/>
              </w:rPr>
            </w:pPr>
            <w:r>
              <w:rPr>
                <w:rFonts w:ascii="Arial" w:hAnsi="Arial" w:cs="Arial"/>
                <w:b/>
                <w:sz w:val="18"/>
                <w:szCs w:val="18"/>
                <w:lang w:val="es-ES"/>
              </w:rPr>
              <w:t xml:space="preserve">Health Responsibility </w:t>
            </w:r>
          </w:p>
          <w:p w:rsidR="00FF0340" w:rsidRPr="00AF5C03" w:rsidRDefault="00FF0340" w:rsidP="00092E09">
            <w:pPr>
              <w:jc w:val="center"/>
              <w:rPr>
                <w:rFonts w:ascii="Arial" w:hAnsi="Arial" w:cs="Arial"/>
                <w:b/>
                <w:sz w:val="18"/>
                <w:szCs w:val="18"/>
                <w:lang w:val="es-ES"/>
              </w:rPr>
            </w:pPr>
          </w:p>
        </w:tc>
        <w:tc>
          <w:tcPr>
            <w:tcW w:w="1134" w:type="dxa"/>
            <w:tcBorders>
              <w:top w:val="single" w:sz="4" w:space="0" w:color="auto"/>
              <w:bottom w:val="single" w:sz="4" w:space="0" w:color="auto"/>
            </w:tcBorders>
            <w:shd w:val="clear" w:color="auto" w:fill="E2EFD9" w:themeFill="accent6" w:themeFillTint="33"/>
          </w:tcPr>
          <w:p w:rsidR="00FF0340" w:rsidRPr="00AF5C03" w:rsidRDefault="004025CE" w:rsidP="004025CE">
            <w:pPr>
              <w:jc w:val="center"/>
              <w:rPr>
                <w:rFonts w:ascii="Arial" w:hAnsi="Arial" w:cs="Arial"/>
                <w:b/>
                <w:sz w:val="18"/>
                <w:szCs w:val="18"/>
                <w:lang w:val="es-ES"/>
              </w:rPr>
            </w:pPr>
            <w:r>
              <w:rPr>
                <w:rFonts w:ascii="Arial" w:hAnsi="Arial" w:cs="Arial"/>
                <w:b/>
                <w:sz w:val="18"/>
                <w:szCs w:val="18"/>
                <w:lang w:val="es-ES"/>
              </w:rPr>
              <w:t>Physical Activity</w:t>
            </w:r>
          </w:p>
        </w:tc>
        <w:tc>
          <w:tcPr>
            <w:tcW w:w="1134" w:type="dxa"/>
            <w:tcBorders>
              <w:top w:val="single" w:sz="4" w:space="0" w:color="auto"/>
              <w:bottom w:val="single" w:sz="4" w:space="0" w:color="auto"/>
            </w:tcBorders>
            <w:shd w:val="clear" w:color="auto" w:fill="E2EFD9" w:themeFill="accent6" w:themeFillTint="33"/>
          </w:tcPr>
          <w:p w:rsidR="00FF0340" w:rsidRPr="00AF5C03" w:rsidRDefault="00FF0340" w:rsidP="004025CE">
            <w:pPr>
              <w:jc w:val="center"/>
              <w:rPr>
                <w:rFonts w:ascii="Arial" w:hAnsi="Arial" w:cs="Arial"/>
                <w:b/>
                <w:sz w:val="18"/>
                <w:szCs w:val="18"/>
                <w:lang w:val="es-ES"/>
              </w:rPr>
            </w:pPr>
            <w:r w:rsidRPr="00AF5C03">
              <w:rPr>
                <w:rFonts w:ascii="Arial" w:hAnsi="Arial" w:cs="Arial"/>
                <w:b/>
                <w:sz w:val="18"/>
                <w:szCs w:val="18"/>
                <w:lang w:val="es-ES"/>
              </w:rPr>
              <w:t>N</w:t>
            </w:r>
            <w:r w:rsidR="004025CE">
              <w:rPr>
                <w:rFonts w:ascii="Arial" w:hAnsi="Arial" w:cs="Arial"/>
                <w:b/>
                <w:sz w:val="18"/>
                <w:szCs w:val="18"/>
                <w:lang w:val="es-ES"/>
              </w:rPr>
              <w:t>utritio</w:t>
            </w:r>
            <w:r w:rsidRPr="00AF5C03">
              <w:rPr>
                <w:rFonts w:ascii="Arial" w:hAnsi="Arial" w:cs="Arial"/>
                <w:b/>
                <w:sz w:val="18"/>
                <w:szCs w:val="18"/>
                <w:lang w:val="es-ES"/>
              </w:rPr>
              <w:t>n</w:t>
            </w:r>
          </w:p>
        </w:tc>
        <w:tc>
          <w:tcPr>
            <w:tcW w:w="1138" w:type="dxa"/>
            <w:tcBorders>
              <w:top w:val="single" w:sz="4" w:space="0" w:color="auto"/>
              <w:bottom w:val="single" w:sz="4" w:space="0" w:color="auto"/>
            </w:tcBorders>
            <w:shd w:val="clear" w:color="auto" w:fill="E2EFD9" w:themeFill="accent6" w:themeFillTint="33"/>
          </w:tcPr>
          <w:p w:rsidR="00FF0340" w:rsidRPr="00AF5C03" w:rsidRDefault="004025CE" w:rsidP="004025CE">
            <w:pPr>
              <w:jc w:val="center"/>
              <w:rPr>
                <w:rFonts w:ascii="Arial" w:hAnsi="Arial" w:cs="Arial"/>
                <w:b/>
                <w:sz w:val="18"/>
                <w:szCs w:val="18"/>
                <w:lang w:val="es-ES"/>
              </w:rPr>
            </w:pPr>
            <w:r>
              <w:rPr>
                <w:rFonts w:ascii="Arial" w:hAnsi="Arial" w:cs="Arial"/>
                <w:b/>
                <w:sz w:val="18"/>
                <w:szCs w:val="18"/>
                <w:lang w:val="es-ES"/>
              </w:rPr>
              <w:t>Spiritual Growth</w:t>
            </w:r>
          </w:p>
        </w:tc>
        <w:tc>
          <w:tcPr>
            <w:tcW w:w="1418" w:type="dxa"/>
            <w:tcBorders>
              <w:top w:val="single" w:sz="4" w:space="0" w:color="auto"/>
              <w:bottom w:val="single" w:sz="4" w:space="0" w:color="auto"/>
            </w:tcBorders>
            <w:shd w:val="clear" w:color="auto" w:fill="E2EFD9" w:themeFill="accent6" w:themeFillTint="33"/>
          </w:tcPr>
          <w:p w:rsidR="00FF0340" w:rsidRPr="00AF5C03" w:rsidRDefault="004025CE" w:rsidP="00092E09">
            <w:pPr>
              <w:jc w:val="center"/>
              <w:rPr>
                <w:rFonts w:ascii="Arial" w:hAnsi="Arial" w:cs="Arial"/>
                <w:b/>
                <w:sz w:val="18"/>
                <w:szCs w:val="18"/>
                <w:lang w:val="es-ES"/>
              </w:rPr>
            </w:pPr>
            <w:r>
              <w:rPr>
                <w:rFonts w:ascii="Arial" w:hAnsi="Arial" w:cs="Arial"/>
                <w:b/>
                <w:sz w:val="18"/>
                <w:szCs w:val="18"/>
                <w:lang w:val="es-ES"/>
              </w:rPr>
              <w:t xml:space="preserve">Interpersonal </w:t>
            </w:r>
            <w:r w:rsidRPr="00AF5C03">
              <w:rPr>
                <w:rFonts w:ascii="Arial" w:hAnsi="Arial" w:cs="Arial"/>
                <w:b/>
                <w:sz w:val="18"/>
                <w:szCs w:val="18"/>
                <w:lang w:val="es-ES"/>
              </w:rPr>
              <w:t>R</w:t>
            </w:r>
            <w:r>
              <w:rPr>
                <w:rFonts w:ascii="Arial" w:hAnsi="Arial" w:cs="Arial"/>
                <w:b/>
                <w:sz w:val="18"/>
                <w:szCs w:val="18"/>
                <w:lang w:val="es-ES"/>
              </w:rPr>
              <w:t>elationships</w:t>
            </w:r>
          </w:p>
        </w:tc>
        <w:tc>
          <w:tcPr>
            <w:tcW w:w="1413" w:type="dxa"/>
            <w:tcBorders>
              <w:top w:val="single" w:sz="4" w:space="0" w:color="auto"/>
              <w:bottom w:val="single" w:sz="4" w:space="0" w:color="auto"/>
            </w:tcBorders>
            <w:shd w:val="clear" w:color="auto" w:fill="E2EFD9" w:themeFill="accent6" w:themeFillTint="33"/>
          </w:tcPr>
          <w:p w:rsidR="00FF0340" w:rsidRPr="00AF5C03" w:rsidRDefault="004025CE" w:rsidP="004025CE">
            <w:pPr>
              <w:jc w:val="center"/>
              <w:rPr>
                <w:rFonts w:ascii="Arial" w:hAnsi="Arial" w:cs="Arial"/>
                <w:b/>
                <w:sz w:val="18"/>
                <w:szCs w:val="18"/>
                <w:lang w:val="es-ES"/>
              </w:rPr>
            </w:pPr>
            <w:r>
              <w:rPr>
                <w:rFonts w:ascii="Arial" w:hAnsi="Arial" w:cs="Arial"/>
                <w:b/>
                <w:sz w:val="18"/>
                <w:szCs w:val="18"/>
                <w:lang w:val="es-ES"/>
              </w:rPr>
              <w:t>Stress Management</w:t>
            </w:r>
          </w:p>
        </w:tc>
      </w:tr>
      <w:tr w:rsidR="00FF0340" w:rsidRPr="00AF5C03" w:rsidTr="004025CE">
        <w:trPr>
          <w:jc w:val="center"/>
        </w:trPr>
        <w:tc>
          <w:tcPr>
            <w:tcW w:w="2831" w:type="dxa"/>
          </w:tcPr>
          <w:p w:rsidR="00FF0340" w:rsidRPr="002C2EA7" w:rsidRDefault="004025CE" w:rsidP="00092E09">
            <w:pPr>
              <w:jc w:val="center"/>
              <w:rPr>
                <w:rFonts w:ascii="Arial" w:hAnsi="Arial" w:cs="Arial"/>
                <w:sz w:val="20"/>
                <w:szCs w:val="20"/>
                <w:lang w:val="es-ES"/>
              </w:rPr>
            </w:pPr>
            <w:r>
              <w:rPr>
                <w:rFonts w:ascii="Arial" w:hAnsi="Arial" w:cs="Arial"/>
                <w:sz w:val="20"/>
                <w:szCs w:val="20"/>
                <w:lang w:val="es-ES"/>
              </w:rPr>
              <w:t>Age Groups</w:t>
            </w:r>
          </w:p>
        </w:tc>
        <w:tc>
          <w:tcPr>
            <w:tcW w:w="1701"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val="es-ES"/>
              </w:rPr>
              <w:t>0,194</w:t>
            </w:r>
          </w:p>
        </w:tc>
        <w:tc>
          <w:tcPr>
            <w:tcW w:w="1134"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val="es-ES"/>
              </w:rPr>
              <w:t>0,662</w:t>
            </w:r>
          </w:p>
        </w:tc>
        <w:tc>
          <w:tcPr>
            <w:tcW w:w="1134"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val="es-ES"/>
              </w:rPr>
              <w:t>0,038</w:t>
            </w:r>
            <w:r>
              <w:rPr>
                <w:rFonts w:ascii="Arial" w:hAnsi="Arial" w:cs="Arial"/>
                <w:sz w:val="20"/>
                <w:szCs w:val="20"/>
                <w:lang w:val="es-ES"/>
              </w:rPr>
              <w:t>**</w:t>
            </w:r>
          </w:p>
        </w:tc>
        <w:tc>
          <w:tcPr>
            <w:tcW w:w="1138"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val="es-ES"/>
              </w:rPr>
              <w:t>0,129</w:t>
            </w:r>
          </w:p>
        </w:tc>
        <w:tc>
          <w:tcPr>
            <w:tcW w:w="1418"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val="es-ES"/>
              </w:rPr>
              <w:t>0,160</w:t>
            </w:r>
          </w:p>
        </w:tc>
        <w:tc>
          <w:tcPr>
            <w:tcW w:w="1413" w:type="dxa"/>
          </w:tcPr>
          <w:p w:rsidR="00FF0340" w:rsidRDefault="00FF0340" w:rsidP="00092E09">
            <w:pPr>
              <w:jc w:val="center"/>
              <w:rPr>
                <w:rFonts w:ascii="Arial" w:hAnsi="Arial" w:cs="Arial"/>
                <w:sz w:val="20"/>
                <w:szCs w:val="20"/>
                <w:lang w:val="es-ES"/>
              </w:rPr>
            </w:pPr>
            <w:r w:rsidRPr="002C2EA7">
              <w:rPr>
                <w:rFonts w:ascii="Arial" w:hAnsi="Arial" w:cs="Arial"/>
                <w:sz w:val="20"/>
                <w:szCs w:val="20"/>
                <w:lang w:val="es-ES"/>
              </w:rPr>
              <w:t>0,048</w:t>
            </w:r>
            <w:r>
              <w:rPr>
                <w:rFonts w:ascii="Arial" w:hAnsi="Arial" w:cs="Arial"/>
                <w:sz w:val="20"/>
                <w:szCs w:val="20"/>
                <w:lang w:val="es-ES"/>
              </w:rPr>
              <w:t>**</w:t>
            </w:r>
          </w:p>
          <w:p w:rsidR="00FF0340" w:rsidRPr="002C2EA7" w:rsidRDefault="00FF0340" w:rsidP="00092E09">
            <w:pPr>
              <w:jc w:val="center"/>
              <w:rPr>
                <w:rFonts w:ascii="Arial" w:hAnsi="Arial" w:cs="Arial"/>
                <w:sz w:val="20"/>
                <w:szCs w:val="20"/>
                <w:lang w:val="es-ES"/>
              </w:rPr>
            </w:pPr>
          </w:p>
        </w:tc>
      </w:tr>
      <w:tr w:rsidR="00FF0340" w:rsidRPr="00AF5C03" w:rsidTr="004025CE">
        <w:trPr>
          <w:jc w:val="center"/>
        </w:trPr>
        <w:tc>
          <w:tcPr>
            <w:tcW w:w="2831" w:type="dxa"/>
          </w:tcPr>
          <w:p w:rsidR="00FF0340" w:rsidRPr="002C2EA7" w:rsidRDefault="004025CE" w:rsidP="00092E09">
            <w:pPr>
              <w:jc w:val="center"/>
              <w:rPr>
                <w:rFonts w:ascii="Arial" w:hAnsi="Arial" w:cs="Arial"/>
                <w:sz w:val="20"/>
                <w:szCs w:val="20"/>
                <w:lang w:val="es-ES"/>
              </w:rPr>
            </w:pPr>
            <w:r>
              <w:rPr>
                <w:rFonts w:ascii="Arial" w:hAnsi="Arial" w:cs="Arial"/>
                <w:sz w:val="20"/>
                <w:szCs w:val="20"/>
                <w:lang w:val="es-ES"/>
              </w:rPr>
              <w:t>O2 Requiring patient</w:t>
            </w:r>
          </w:p>
        </w:tc>
        <w:tc>
          <w:tcPr>
            <w:tcW w:w="1701"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eastAsia="es-CO"/>
              </w:rPr>
              <w:t>0,495</w:t>
            </w:r>
          </w:p>
        </w:tc>
        <w:tc>
          <w:tcPr>
            <w:tcW w:w="1134"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eastAsia="es-CO"/>
              </w:rPr>
              <w:t>0,011</w:t>
            </w:r>
            <w:r>
              <w:rPr>
                <w:rFonts w:ascii="Arial" w:hAnsi="Arial" w:cs="Arial"/>
                <w:sz w:val="20"/>
                <w:szCs w:val="20"/>
                <w:lang w:eastAsia="es-CO"/>
              </w:rPr>
              <w:t>**</w:t>
            </w:r>
          </w:p>
        </w:tc>
        <w:tc>
          <w:tcPr>
            <w:tcW w:w="1134"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eastAsia="es-CO"/>
              </w:rPr>
              <w:t>0,289</w:t>
            </w:r>
          </w:p>
        </w:tc>
        <w:tc>
          <w:tcPr>
            <w:tcW w:w="1138"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eastAsia="es-CO"/>
              </w:rPr>
              <w:t>0,254</w:t>
            </w:r>
          </w:p>
        </w:tc>
        <w:tc>
          <w:tcPr>
            <w:tcW w:w="1418"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eastAsia="es-CO"/>
              </w:rPr>
              <w:t>0,602</w:t>
            </w:r>
          </w:p>
        </w:tc>
        <w:tc>
          <w:tcPr>
            <w:tcW w:w="1413" w:type="dxa"/>
          </w:tcPr>
          <w:p w:rsidR="00FF0340" w:rsidRDefault="00FF0340" w:rsidP="00092E09">
            <w:pPr>
              <w:jc w:val="center"/>
              <w:rPr>
                <w:rFonts w:ascii="Arial" w:hAnsi="Arial" w:cs="Arial"/>
                <w:sz w:val="20"/>
                <w:szCs w:val="20"/>
                <w:lang w:eastAsia="es-CO"/>
              </w:rPr>
            </w:pPr>
            <w:r w:rsidRPr="002C2EA7">
              <w:rPr>
                <w:rFonts w:ascii="Arial" w:hAnsi="Arial" w:cs="Arial"/>
                <w:sz w:val="20"/>
                <w:szCs w:val="20"/>
                <w:lang w:eastAsia="es-CO"/>
              </w:rPr>
              <w:t>0,372</w:t>
            </w:r>
          </w:p>
          <w:p w:rsidR="00FF0340" w:rsidRPr="002C2EA7" w:rsidRDefault="00FF0340" w:rsidP="00092E09">
            <w:pPr>
              <w:jc w:val="center"/>
              <w:rPr>
                <w:rFonts w:ascii="Arial" w:hAnsi="Arial" w:cs="Arial"/>
                <w:sz w:val="20"/>
                <w:szCs w:val="20"/>
                <w:lang w:val="es-ES"/>
              </w:rPr>
            </w:pPr>
          </w:p>
        </w:tc>
      </w:tr>
      <w:tr w:rsidR="00FF0340" w:rsidRPr="00AF5C03" w:rsidTr="004025CE">
        <w:trPr>
          <w:jc w:val="center"/>
        </w:trPr>
        <w:tc>
          <w:tcPr>
            <w:tcW w:w="2831" w:type="dxa"/>
          </w:tcPr>
          <w:p w:rsidR="00FF0340" w:rsidRPr="002C2EA7" w:rsidRDefault="004025CE" w:rsidP="00092E09">
            <w:pPr>
              <w:jc w:val="center"/>
              <w:rPr>
                <w:rFonts w:ascii="Arial" w:hAnsi="Arial" w:cs="Arial"/>
                <w:sz w:val="20"/>
                <w:szCs w:val="20"/>
                <w:lang w:val="es-ES"/>
              </w:rPr>
            </w:pPr>
            <w:r>
              <w:rPr>
                <w:rFonts w:ascii="Arial" w:hAnsi="Arial" w:cs="Arial"/>
                <w:sz w:val="20"/>
                <w:szCs w:val="20"/>
                <w:lang w:val="es-ES"/>
              </w:rPr>
              <w:t>O2 Dependent patient</w:t>
            </w:r>
          </w:p>
        </w:tc>
        <w:tc>
          <w:tcPr>
            <w:tcW w:w="1701"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eastAsia="es-CO"/>
              </w:rPr>
              <w:t>0,474</w:t>
            </w:r>
          </w:p>
        </w:tc>
        <w:tc>
          <w:tcPr>
            <w:tcW w:w="1134"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eastAsia="es-CO"/>
              </w:rPr>
              <w:t>0,037</w:t>
            </w:r>
            <w:r>
              <w:rPr>
                <w:rFonts w:ascii="Arial" w:hAnsi="Arial" w:cs="Arial"/>
                <w:sz w:val="20"/>
                <w:szCs w:val="20"/>
                <w:lang w:eastAsia="es-CO"/>
              </w:rPr>
              <w:t>**</w:t>
            </w:r>
          </w:p>
        </w:tc>
        <w:tc>
          <w:tcPr>
            <w:tcW w:w="1134"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eastAsia="es-CO"/>
              </w:rPr>
              <w:t>0,662</w:t>
            </w:r>
          </w:p>
        </w:tc>
        <w:tc>
          <w:tcPr>
            <w:tcW w:w="1138"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eastAsia="es-CO"/>
              </w:rPr>
              <w:t>0,875</w:t>
            </w:r>
          </w:p>
        </w:tc>
        <w:tc>
          <w:tcPr>
            <w:tcW w:w="1418" w:type="dxa"/>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lang w:eastAsia="es-CO"/>
              </w:rPr>
              <w:t>0,852</w:t>
            </w:r>
          </w:p>
        </w:tc>
        <w:tc>
          <w:tcPr>
            <w:tcW w:w="1413" w:type="dxa"/>
          </w:tcPr>
          <w:p w:rsidR="00FF0340" w:rsidRDefault="00FF0340" w:rsidP="00092E09">
            <w:pPr>
              <w:jc w:val="center"/>
              <w:rPr>
                <w:rFonts w:ascii="Arial" w:hAnsi="Arial" w:cs="Arial"/>
                <w:sz w:val="20"/>
                <w:szCs w:val="20"/>
                <w:lang w:eastAsia="es-CO"/>
              </w:rPr>
            </w:pPr>
            <w:r w:rsidRPr="002C2EA7">
              <w:rPr>
                <w:rFonts w:ascii="Arial" w:hAnsi="Arial" w:cs="Arial"/>
                <w:sz w:val="20"/>
                <w:szCs w:val="20"/>
                <w:lang w:eastAsia="es-CO"/>
              </w:rPr>
              <w:t>0,197</w:t>
            </w:r>
          </w:p>
          <w:p w:rsidR="00FF0340" w:rsidRPr="002C2EA7" w:rsidRDefault="00FF0340" w:rsidP="00092E09">
            <w:pPr>
              <w:jc w:val="center"/>
              <w:rPr>
                <w:rFonts w:ascii="Arial" w:hAnsi="Arial" w:cs="Arial"/>
                <w:sz w:val="20"/>
                <w:szCs w:val="20"/>
                <w:lang w:val="es-ES"/>
              </w:rPr>
            </w:pPr>
          </w:p>
        </w:tc>
      </w:tr>
      <w:tr w:rsidR="00FF0340" w:rsidRPr="00AF5C03" w:rsidTr="004025CE">
        <w:trPr>
          <w:jc w:val="center"/>
        </w:trPr>
        <w:tc>
          <w:tcPr>
            <w:tcW w:w="2831" w:type="dxa"/>
            <w:tcBorders>
              <w:bottom w:val="single" w:sz="4" w:space="0" w:color="auto"/>
            </w:tcBorders>
          </w:tcPr>
          <w:p w:rsidR="00FF0340" w:rsidRPr="00A237C5" w:rsidRDefault="00A237C5" w:rsidP="00A237C5">
            <w:pPr>
              <w:jc w:val="center"/>
              <w:rPr>
                <w:rFonts w:ascii="Arial" w:hAnsi="Arial" w:cs="Arial"/>
                <w:sz w:val="20"/>
                <w:szCs w:val="20"/>
                <w:lang w:val="en-US"/>
              </w:rPr>
            </w:pPr>
            <w:r w:rsidRPr="00A237C5">
              <w:rPr>
                <w:rFonts w:ascii="Arial" w:hAnsi="Arial" w:cs="Arial"/>
                <w:sz w:val="20"/>
                <w:szCs w:val="20"/>
                <w:lang w:val="en-US"/>
              </w:rPr>
              <w:t>Biomass smoke Exposure</w:t>
            </w:r>
            <w:r w:rsidR="00FF0340" w:rsidRPr="00A237C5">
              <w:rPr>
                <w:rFonts w:ascii="Arial" w:hAnsi="Arial" w:cs="Arial"/>
                <w:sz w:val="20"/>
                <w:szCs w:val="20"/>
                <w:lang w:val="en-US"/>
              </w:rPr>
              <w:t xml:space="preserve"> </w:t>
            </w:r>
          </w:p>
        </w:tc>
        <w:tc>
          <w:tcPr>
            <w:tcW w:w="1701" w:type="dxa"/>
            <w:tcBorders>
              <w:bottom w:val="single" w:sz="4" w:space="0" w:color="auto"/>
            </w:tcBorders>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rPr>
              <w:t>0,0251</w:t>
            </w:r>
            <w:r>
              <w:rPr>
                <w:rFonts w:ascii="Arial" w:hAnsi="Arial" w:cs="Arial"/>
                <w:sz w:val="20"/>
                <w:szCs w:val="20"/>
              </w:rPr>
              <w:t>**</w:t>
            </w:r>
          </w:p>
        </w:tc>
        <w:tc>
          <w:tcPr>
            <w:tcW w:w="1134" w:type="dxa"/>
            <w:tcBorders>
              <w:bottom w:val="single" w:sz="4" w:space="0" w:color="auto"/>
            </w:tcBorders>
          </w:tcPr>
          <w:p w:rsidR="00FF0340" w:rsidRPr="002C2EA7" w:rsidRDefault="00FF0340" w:rsidP="00092E09">
            <w:pPr>
              <w:jc w:val="center"/>
              <w:rPr>
                <w:rFonts w:ascii="Arial" w:hAnsi="Arial" w:cs="Arial"/>
                <w:sz w:val="20"/>
                <w:szCs w:val="20"/>
              </w:rPr>
            </w:pPr>
            <w:r w:rsidRPr="002C2EA7">
              <w:rPr>
                <w:rFonts w:ascii="Arial" w:hAnsi="Arial" w:cs="Arial"/>
                <w:sz w:val="20"/>
                <w:szCs w:val="20"/>
              </w:rPr>
              <w:t>0,4191</w:t>
            </w:r>
          </w:p>
          <w:p w:rsidR="00FF0340" w:rsidRPr="002C2EA7" w:rsidRDefault="00FF0340" w:rsidP="00092E09">
            <w:pPr>
              <w:jc w:val="center"/>
              <w:rPr>
                <w:rFonts w:ascii="Arial" w:hAnsi="Arial" w:cs="Arial"/>
                <w:sz w:val="20"/>
                <w:szCs w:val="20"/>
                <w:lang w:val="es-ES"/>
              </w:rPr>
            </w:pPr>
          </w:p>
        </w:tc>
        <w:tc>
          <w:tcPr>
            <w:tcW w:w="1134" w:type="dxa"/>
            <w:tcBorders>
              <w:bottom w:val="single" w:sz="4" w:space="0" w:color="auto"/>
            </w:tcBorders>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rPr>
              <w:t>0,7707</w:t>
            </w:r>
          </w:p>
        </w:tc>
        <w:tc>
          <w:tcPr>
            <w:tcW w:w="1138" w:type="dxa"/>
            <w:tcBorders>
              <w:bottom w:val="single" w:sz="4" w:space="0" w:color="auto"/>
            </w:tcBorders>
            <w:shd w:val="clear" w:color="auto" w:fill="auto"/>
          </w:tcPr>
          <w:p w:rsidR="00FF0340" w:rsidRPr="002C2EA7" w:rsidRDefault="00FF0340" w:rsidP="00092E09">
            <w:pPr>
              <w:jc w:val="center"/>
              <w:rPr>
                <w:rFonts w:ascii="Arial" w:hAnsi="Arial" w:cs="Arial"/>
                <w:sz w:val="20"/>
                <w:szCs w:val="20"/>
                <w:lang w:val="es-ES"/>
              </w:rPr>
            </w:pPr>
            <w:r w:rsidRPr="006076BA">
              <w:rPr>
                <w:rFonts w:ascii="Arial" w:hAnsi="Arial" w:cs="Arial"/>
                <w:sz w:val="20"/>
                <w:szCs w:val="20"/>
              </w:rPr>
              <w:t>0,0002</w:t>
            </w:r>
            <w:r>
              <w:rPr>
                <w:rFonts w:ascii="Arial" w:hAnsi="Arial" w:cs="Arial"/>
                <w:sz w:val="20"/>
                <w:szCs w:val="20"/>
              </w:rPr>
              <w:t>**</w:t>
            </w:r>
          </w:p>
        </w:tc>
        <w:tc>
          <w:tcPr>
            <w:tcW w:w="1418" w:type="dxa"/>
            <w:tcBorders>
              <w:bottom w:val="single" w:sz="4" w:space="0" w:color="auto"/>
            </w:tcBorders>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rPr>
              <w:t>0,0113</w:t>
            </w:r>
            <w:r>
              <w:rPr>
                <w:rFonts w:ascii="Arial" w:hAnsi="Arial" w:cs="Arial"/>
                <w:sz w:val="20"/>
                <w:szCs w:val="20"/>
              </w:rPr>
              <w:t>**</w:t>
            </w:r>
          </w:p>
        </w:tc>
        <w:tc>
          <w:tcPr>
            <w:tcW w:w="1413" w:type="dxa"/>
            <w:tcBorders>
              <w:bottom w:val="single" w:sz="4" w:space="0" w:color="auto"/>
            </w:tcBorders>
          </w:tcPr>
          <w:p w:rsidR="00FF0340" w:rsidRPr="002C2EA7" w:rsidRDefault="00FF0340" w:rsidP="00092E09">
            <w:pPr>
              <w:jc w:val="center"/>
              <w:rPr>
                <w:rFonts w:ascii="Arial" w:hAnsi="Arial" w:cs="Arial"/>
                <w:sz w:val="20"/>
                <w:szCs w:val="20"/>
                <w:lang w:val="es-ES"/>
              </w:rPr>
            </w:pPr>
            <w:r w:rsidRPr="002C2EA7">
              <w:rPr>
                <w:rFonts w:ascii="Arial" w:hAnsi="Arial" w:cs="Arial"/>
                <w:sz w:val="20"/>
                <w:szCs w:val="20"/>
              </w:rPr>
              <w:t>0,0127</w:t>
            </w:r>
            <w:r>
              <w:rPr>
                <w:rFonts w:ascii="Arial" w:hAnsi="Arial" w:cs="Arial"/>
                <w:sz w:val="20"/>
                <w:szCs w:val="20"/>
              </w:rPr>
              <w:t>**</w:t>
            </w:r>
          </w:p>
        </w:tc>
      </w:tr>
    </w:tbl>
    <w:p w:rsidR="00FF0340" w:rsidRDefault="00DE7DA5" w:rsidP="00FF0340">
      <w:pPr>
        <w:spacing w:after="0"/>
        <w:jc w:val="both"/>
        <w:rPr>
          <w:rFonts w:ascii="Arial" w:hAnsi="Arial" w:cs="Arial"/>
          <w:i/>
          <w:sz w:val="20"/>
          <w:szCs w:val="20"/>
        </w:rPr>
      </w:pPr>
      <w:r>
        <w:rPr>
          <w:rFonts w:ascii="Arial" w:hAnsi="Arial" w:cs="Arial"/>
          <w:i/>
          <w:sz w:val="20"/>
          <w:szCs w:val="20"/>
        </w:rPr>
        <w:t>P Significant value</w:t>
      </w:r>
      <w:r w:rsidR="00FF0340">
        <w:rPr>
          <w:rFonts w:ascii="Arial" w:hAnsi="Arial" w:cs="Arial"/>
          <w:i/>
          <w:sz w:val="20"/>
          <w:szCs w:val="20"/>
        </w:rPr>
        <w:t>= &lt; 0,05**</w:t>
      </w:r>
    </w:p>
    <w:p w:rsidR="00076C3B" w:rsidRDefault="00076C3B" w:rsidP="00076C3B">
      <w:pPr>
        <w:pStyle w:val="Sinespaciado"/>
        <w:rPr>
          <w:lang w:val="es-ES"/>
        </w:rPr>
      </w:pPr>
    </w:p>
    <w:p w:rsidR="000324C0" w:rsidRDefault="000324C0" w:rsidP="00FF0340">
      <w:pPr>
        <w:spacing w:line="240" w:lineRule="auto"/>
        <w:jc w:val="both"/>
        <w:rPr>
          <w:rFonts w:ascii="Arial" w:hAnsi="Arial" w:cs="Arial"/>
          <w:b/>
          <w:sz w:val="24"/>
          <w:szCs w:val="24"/>
          <w:lang w:val="en-US"/>
        </w:rPr>
      </w:pPr>
    </w:p>
    <w:p w:rsidR="00D822B3" w:rsidRPr="00076C3B" w:rsidRDefault="00076C3B" w:rsidP="00FF0340">
      <w:pPr>
        <w:spacing w:line="240" w:lineRule="auto"/>
        <w:jc w:val="both"/>
        <w:rPr>
          <w:rFonts w:ascii="Arial" w:hAnsi="Arial" w:cs="Arial"/>
          <w:b/>
          <w:sz w:val="24"/>
          <w:szCs w:val="24"/>
          <w:lang w:val="en-US"/>
        </w:rPr>
      </w:pPr>
      <w:r w:rsidRPr="00076C3B">
        <w:rPr>
          <w:rFonts w:ascii="Arial" w:hAnsi="Arial" w:cs="Arial"/>
          <w:b/>
          <w:sz w:val="24"/>
          <w:szCs w:val="24"/>
          <w:lang w:val="en-US"/>
        </w:rPr>
        <w:t>DISCUSSION</w:t>
      </w:r>
    </w:p>
    <w:p w:rsidR="00DD4DA8" w:rsidRDefault="00076C3B" w:rsidP="00B95465">
      <w:pPr>
        <w:tabs>
          <w:tab w:val="left" w:pos="4564"/>
        </w:tabs>
        <w:spacing w:line="240" w:lineRule="auto"/>
        <w:jc w:val="both"/>
        <w:rPr>
          <w:rFonts w:ascii="Arial" w:hAnsi="Arial" w:cs="Arial"/>
          <w:sz w:val="24"/>
          <w:szCs w:val="24"/>
          <w:lang w:val="en-US"/>
        </w:rPr>
      </w:pPr>
      <w:r w:rsidRPr="00076C3B">
        <w:rPr>
          <w:rFonts w:ascii="Arial" w:hAnsi="Arial" w:cs="Arial"/>
          <w:sz w:val="24"/>
          <w:szCs w:val="24"/>
          <w:lang w:val="en-US"/>
        </w:rPr>
        <w:t>The first significant finding of this study is the fact of h</w:t>
      </w:r>
      <w:r>
        <w:rPr>
          <w:rFonts w:ascii="Arial" w:hAnsi="Arial" w:cs="Arial"/>
          <w:sz w:val="24"/>
          <w:szCs w:val="24"/>
          <w:lang w:val="en-US"/>
        </w:rPr>
        <w:t>a</w:t>
      </w:r>
      <w:r w:rsidRPr="00076C3B">
        <w:rPr>
          <w:rFonts w:ascii="Arial" w:hAnsi="Arial" w:cs="Arial"/>
          <w:sz w:val="24"/>
          <w:szCs w:val="24"/>
          <w:lang w:val="en-US"/>
        </w:rPr>
        <w:t xml:space="preserve">ving </w:t>
      </w:r>
      <w:r w:rsidR="00527715">
        <w:rPr>
          <w:rFonts w:ascii="Arial" w:hAnsi="Arial" w:cs="Arial"/>
          <w:sz w:val="24"/>
          <w:szCs w:val="24"/>
          <w:lang w:val="en-US"/>
        </w:rPr>
        <w:t>found</w:t>
      </w:r>
      <w:r w:rsidR="00CE59E0">
        <w:rPr>
          <w:rFonts w:ascii="Arial" w:hAnsi="Arial" w:cs="Arial"/>
          <w:sz w:val="24"/>
          <w:szCs w:val="24"/>
          <w:lang w:val="en-US"/>
        </w:rPr>
        <w:t xml:space="preserve"> a sample of people suffering from</w:t>
      </w:r>
      <w:r w:rsidR="00527715">
        <w:rPr>
          <w:rFonts w:ascii="Arial" w:hAnsi="Arial" w:cs="Arial"/>
          <w:sz w:val="24"/>
          <w:szCs w:val="24"/>
          <w:lang w:val="en-US"/>
        </w:rPr>
        <w:t xml:space="preserve"> </w:t>
      </w:r>
      <w:r w:rsidR="00CE59E0">
        <w:rPr>
          <w:rFonts w:ascii="Arial" w:hAnsi="Arial" w:cs="Arial"/>
          <w:noProof/>
          <w:sz w:val="24"/>
          <w:szCs w:val="24"/>
          <w:lang w:val="en-US" w:eastAsia="es-CO"/>
        </w:rPr>
        <w:t>COPD</w:t>
      </w:r>
      <w:r w:rsidR="00527715">
        <w:rPr>
          <w:rFonts w:ascii="Arial" w:hAnsi="Arial" w:cs="Arial"/>
          <w:noProof/>
          <w:sz w:val="24"/>
          <w:szCs w:val="24"/>
          <w:lang w:val="en-US" w:eastAsia="es-CO"/>
        </w:rPr>
        <w:t xml:space="preserve"> in which women are predominant, therefore, </w:t>
      </w:r>
      <w:r w:rsidR="00854678">
        <w:rPr>
          <w:rFonts w:ascii="Arial" w:hAnsi="Arial" w:cs="Arial"/>
          <w:noProof/>
          <w:sz w:val="24"/>
          <w:szCs w:val="24"/>
          <w:lang w:val="en-US" w:eastAsia="es-CO"/>
        </w:rPr>
        <w:t>this aspect must be considered due to the fact that the epidemiological reports have always shown higher prevalence rates</w:t>
      </w:r>
      <w:r w:rsidR="00E561F0">
        <w:rPr>
          <w:rFonts w:ascii="Arial" w:hAnsi="Arial" w:cs="Arial"/>
          <w:noProof/>
          <w:sz w:val="24"/>
          <w:szCs w:val="24"/>
          <w:lang w:val="en-US" w:eastAsia="es-CO"/>
        </w:rPr>
        <w:t xml:space="preserve"> in men</w:t>
      </w:r>
      <w:r w:rsidR="00511C02" w:rsidRPr="00511C02">
        <w:rPr>
          <w:rFonts w:ascii="Arial" w:hAnsi="Arial" w:cs="Arial"/>
          <w:noProof/>
          <w:sz w:val="24"/>
          <w:szCs w:val="24"/>
          <w:vertAlign w:val="superscript"/>
          <w:lang w:val="en-US" w:eastAsia="es-CO"/>
        </w:rPr>
        <w:t>(</w:t>
      </w:r>
      <w:r w:rsidR="00E561F0" w:rsidRPr="00E561F0">
        <w:rPr>
          <w:rFonts w:ascii="Arial" w:hAnsi="Arial" w:cs="Arial"/>
          <w:sz w:val="24"/>
          <w:szCs w:val="24"/>
          <w:vertAlign w:val="superscript"/>
          <w:lang w:val="en-US"/>
        </w:rPr>
        <w:t>31</w:t>
      </w:r>
      <w:r w:rsidR="00511C02">
        <w:rPr>
          <w:rFonts w:ascii="Arial" w:hAnsi="Arial" w:cs="Arial"/>
          <w:sz w:val="24"/>
          <w:szCs w:val="24"/>
          <w:vertAlign w:val="superscript"/>
          <w:lang w:val="en-US"/>
        </w:rPr>
        <w:t>)</w:t>
      </w:r>
      <w:r w:rsidR="00E561F0" w:rsidRPr="00E561F0">
        <w:rPr>
          <w:rFonts w:ascii="Arial" w:hAnsi="Arial" w:cs="Arial"/>
          <w:sz w:val="24"/>
          <w:szCs w:val="24"/>
          <w:lang w:val="en-US"/>
        </w:rPr>
        <w:t>.</w:t>
      </w:r>
      <w:r w:rsidR="00E561F0">
        <w:rPr>
          <w:rFonts w:ascii="Arial" w:hAnsi="Arial" w:cs="Arial"/>
          <w:sz w:val="24"/>
          <w:szCs w:val="24"/>
          <w:lang w:val="en-US"/>
        </w:rPr>
        <w:t xml:space="preserve"> </w:t>
      </w:r>
      <w:r w:rsidR="007F7691">
        <w:rPr>
          <w:rFonts w:ascii="Arial" w:hAnsi="Arial" w:cs="Arial"/>
          <w:sz w:val="24"/>
          <w:szCs w:val="24"/>
          <w:lang w:val="en-US"/>
        </w:rPr>
        <w:t xml:space="preserve">Consequently, </w:t>
      </w:r>
      <w:r w:rsidR="00B95465">
        <w:rPr>
          <w:rFonts w:ascii="Arial" w:hAnsi="Arial" w:cs="Arial"/>
          <w:sz w:val="24"/>
          <w:szCs w:val="24"/>
          <w:lang w:val="en-US"/>
        </w:rPr>
        <w:t>it</w:t>
      </w:r>
      <w:r w:rsidR="007F7691">
        <w:rPr>
          <w:rFonts w:ascii="Arial" w:hAnsi="Arial" w:cs="Arial"/>
          <w:sz w:val="24"/>
          <w:szCs w:val="24"/>
          <w:lang w:val="en-US"/>
        </w:rPr>
        <w:t xml:space="preserve"> is important to highlight the fact that although many of the participants of this study do not count with a confirmed diagnostic done through a spirometry, the factors of </w:t>
      </w:r>
      <w:r w:rsidR="009A6BA1">
        <w:rPr>
          <w:rFonts w:ascii="Arial" w:hAnsi="Arial" w:cs="Arial"/>
          <w:sz w:val="24"/>
          <w:szCs w:val="24"/>
          <w:lang w:val="en-US"/>
        </w:rPr>
        <w:t>exposure in all participants</w:t>
      </w:r>
      <w:r w:rsidR="00E01750">
        <w:rPr>
          <w:rFonts w:ascii="Arial" w:hAnsi="Arial" w:cs="Arial"/>
          <w:sz w:val="24"/>
          <w:szCs w:val="24"/>
          <w:lang w:val="en-US"/>
        </w:rPr>
        <w:t xml:space="preserve"> </w:t>
      </w:r>
      <w:r w:rsidR="00B95465">
        <w:rPr>
          <w:rFonts w:ascii="Arial" w:hAnsi="Arial" w:cs="Arial"/>
          <w:sz w:val="24"/>
          <w:szCs w:val="24"/>
          <w:lang w:val="en-US"/>
        </w:rPr>
        <w:t>accomplish</w:t>
      </w:r>
      <w:r w:rsidR="00E01750">
        <w:rPr>
          <w:rFonts w:ascii="Arial" w:hAnsi="Arial" w:cs="Arial"/>
          <w:sz w:val="24"/>
          <w:szCs w:val="24"/>
          <w:lang w:val="en-US"/>
        </w:rPr>
        <w:t xml:space="preserve"> </w:t>
      </w:r>
      <w:r w:rsidR="00B95465">
        <w:rPr>
          <w:rFonts w:ascii="Arial" w:hAnsi="Arial" w:cs="Arial"/>
          <w:sz w:val="24"/>
          <w:szCs w:val="24"/>
          <w:lang w:val="en-US"/>
        </w:rPr>
        <w:t>a</w:t>
      </w:r>
      <w:r w:rsidR="00E01750">
        <w:rPr>
          <w:rFonts w:ascii="Arial" w:hAnsi="Arial" w:cs="Arial"/>
          <w:sz w:val="24"/>
          <w:szCs w:val="24"/>
          <w:lang w:val="en-US"/>
        </w:rPr>
        <w:t xml:space="preserve"> description of</w:t>
      </w:r>
      <w:r w:rsidR="0019561C">
        <w:rPr>
          <w:rFonts w:ascii="Arial" w:hAnsi="Arial" w:cs="Arial"/>
          <w:sz w:val="24"/>
          <w:szCs w:val="24"/>
          <w:lang w:val="en-US"/>
        </w:rPr>
        <w:t xml:space="preserve"> the clinical features that </w:t>
      </w:r>
      <w:r w:rsidR="006A2FC6">
        <w:rPr>
          <w:rFonts w:ascii="Arial" w:hAnsi="Arial" w:cs="Arial"/>
          <w:sz w:val="24"/>
          <w:szCs w:val="24"/>
          <w:lang w:val="en-US"/>
        </w:rPr>
        <w:t>this diagnostic brings</w:t>
      </w:r>
      <w:r w:rsidR="0019561C">
        <w:rPr>
          <w:rFonts w:ascii="Arial" w:hAnsi="Arial" w:cs="Arial"/>
          <w:sz w:val="24"/>
          <w:szCs w:val="24"/>
          <w:lang w:val="en-US"/>
        </w:rPr>
        <w:t xml:space="preserve"> into consideration</w:t>
      </w:r>
      <w:r w:rsidR="00210B89">
        <w:rPr>
          <w:rFonts w:ascii="Arial" w:hAnsi="Arial" w:cs="Arial"/>
          <w:sz w:val="24"/>
          <w:szCs w:val="24"/>
          <w:lang w:val="en-US"/>
        </w:rPr>
        <w:t xml:space="preserve">. Nonetheless, </w:t>
      </w:r>
      <w:r w:rsidR="00B6048E">
        <w:rPr>
          <w:rFonts w:ascii="Arial" w:hAnsi="Arial" w:cs="Arial"/>
          <w:sz w:val="24"/>
          <w:szCs w:val="24"/>
          <w:lang w:val="en-US"/>
        </w:rPr>
        <w:t xml:space="preserve">this study demonstrated an interaction between the clinical diagnostic </w:t>
      </w:r>
      <w:r w:rsidR="00F2146F">
        <w:rPr>
          <w:rFonts w:ascii="Arial" w:hAnsi="Arial" w:cs="Arial"/>
          <w:sz w:val="24"/>
          <w:szCs w:val="24"/>
          <w:lang w:val="en-US"/>
        </w:rPr>
        <w:t xml:space="preserve">and the exposure factors, which could indicate a clinical overvaluation </w:t>
      </w:r>
      <w:r w:rsidR="00B95465">
        <w:rPr>
          <w:rFonts w:ascii="Arial" w:hAnsi="Arial" w:cs="Arial"/>
          <w:sz w:val="24"/>
          <w:szCs w:val="24"/>
          <w:lang w:val="en-US"/>
        </w:rPr>
        <w:t>of the population</w:t>
      </w:r>
      <w:r w:rsidR="00F2146F">
        <w:rPr>
          <w:rFonts w:ascii="Arial" w:hAnsi="Arial" w:cs="Arial"/>
          <w:sz w:val="24"/>
          <w:szCs w:val="24"/>
          <w:lang w:val="en-US"/>
        </w:rPr>
        <w:t xml:space="preserve">; in addition to this, </w:t>
      </w:r>
      <w:r w:rsidR="00B95465">
        <w:rPr>
          <w:rFonts w:ascii="Arial" w:hAnsi="Arial" w:cs="Arial"/>
          <w:sz w:val="24"/>
          <w:szCs w:val="24"/>
          <w:lang w:val="en-US"/>
        </w:rPr>
        <w:t xml:space="preserve">the records where </w:t>
      </w:r>
      <w:r w:rsidR="009D56F2">
        <w:rPr>
          <w:rFonts w:ascii="Arial" w:hAnsi="Arial" w:cs="Arial"/>
          <w:sz w:val="24"/>
          <w:szCs w:val="24"/>
          <w:lang w:val="en-US"/>
        </w:rPr>
        <w:t xml:space="preserve">the initial information of these people is extracted, report as the prevailing diagnostic the unspecified </w:t>
      </w:r>
      <w:r w:rsidR="009D56F2">
        <w:rPr>
          <w:rFonts w:ascii="Arial" w:hAnsi="Arial" w:cs="Arial"/>
          <w:noProof/>
          <w:sz w:val="24"/>
          <w:szCs w:val="24"/>
          <w:lang w:val="en-US" w:eastAsia="es-CO"/>
        </w:rPr>
        <w:t xml:space="preserve">COPD, demonstrating in this case, the lack of confirmation of a diagnostic. Furthermore, </w:t>
      </w:r>
      <w:r w:rsidR="00265FE2">
        <w:rPr>
          <w:rFonts w:ascii="Arial" w:hAnsi="Arial" w:cs="Arial"/>
          <w:noProof/>
          <w:sz w:val="24"/>
          <w:szCs w:val="24"/>
          <w:lang w:val="en-US" w:eastAsia="es-CO"/>
        </w:rPr>
        <w:t xml:space="preserve">people’s </w:t>
      </w:r>
      <w:r w:rsidR="009D56F2">
        <w:rPr>
          <w:rFonts w:ascii="Arial" w:hAnsi="Arial" w:cs="Arial"/>
          <w:noProof/>
          <w:sz w:val="24"/>
          <w:szCs w:val="24"/>
          <w:lang w:val="en-US" w:eastAsia="es-CO"/>
        </w:rPr>
        <w:t>unawareness of the</w:t>
      </w:r>
      <w:r w:rsidR="00265FE2">
        <w:rPr>
          <w:rFonts w:ascii="Arial" w:hAnsi="Arial" w:cs="Arial"/>
          <w:noProof/>
          <w:sz w:val="24"/>
          <w:szCs w:val="24"/>
          <w:lang w:val="en-US" w:eastAsia="es-CO"/>
        </w:rPr>
        <w:t>ir</w:t>
      </w:r>
      <w:r w:rsidR="009D56F2">
        <w:rPr>
          <w:rFonts w:ascii="Arial" w:hAnsi="Arial" w:cs="Arial"/>
          <w:noProof/>
          <w:sz w:val="24"/>
          <w:szCs w:val="24"/>
          <w:lang w:val="en-US" w:eastAsia="es-CO"/>
        </w:rPr>
        <w:t xml:space="preserve"> </w:t>
      </w:r>
      <w:r w:rsidR="00265FE2">
        <w:rPr>
          <w:rFonts w:ascii="Arial" w:hAnsi="Arial" w:cs="Arial"/>
          <w:noProof/>
          <w:sz w:val="24"/>
          <w:szCs w:val="24"/>
          <w:lang w:val="en-US" w:eastAsia="es-CO"/>
        </w:rPr>
        <w:t xml:space="preserve">disease is identified, when they are being addressed in order to collect the information. </w:t>
      </w:r>
      <w:r w:rsidR="00265FE2" w:rsidRPr="00265FE2">
        <w:rPr>
          <w:rFonts w:ascii="Arial" w:hAnsi="Arial" w:cs="Arial"/>
          <w:noProof/>
          <w:sz w:val="24"/>
          <w:szCs w:val="24"/>
          <w:lang w:val="en-US" w:eastAsia="es-CO"/>
        </w:rPr>
        <w:t xml:space="preserve">These findings are consistent with the public health issues known </w:t>
      </w:r>
      <w:r w:rsidR="00265FE2">
        <w:rPr>
          <w:rFonts w:ascii="Arial" w:hAnsi="Arial" w:cs="Arial"/>
          <w:noProof/>
          <w:sz w:val="24"/>
          <w:szCs w:val="24"/>
          <w:lang w:val="en-US" w:eastAsia="es-CO"/>
        </w:rPr>
        <w:t>worldwide, where it is epidemiologically shown that the COPD is characterized by a high degree of infra</w:t>
      </w:r>
      <w:r w:rsidR="00CE59E0">
        <w:rPr>
          <w:rFonts w:ascii="Arial" w:hAnsi="Arial" w:cs="Arial"/>
          <w:noProof/>
          <w:sz w:val="24"/>
          <w:szCs w:val="24"/>
          <w:lang w:val="en-US" w:eastAsia="es-CO"/>
        </w:rPr>
        <w:t xml:space="preserve"> </w:t>
      </w:r>
      <w:r w:rsidR="00265FE2">
        <w:rPr>
          <w:rFonts w:ascii="Arial" w:hAnsi="Arial" w:cs="Arial"/>
          <w:noProof/>
          <w:sz w:val="24"/>
          <w:szCs w:val="24"/>
          <w:lang w:val="en-US" w:eastAsia="es-CO"/>
        </w:rPr>
        <w:t>diagnosis, predomi</w:t>
      </w:r>
      <w:r w:rsidR="00512526">
        <w:rPr>
          <w:rFonts w:ascii="Arial" w:hAnsi="Arial" w:cs="Arial"/>
          <w:noProof/>
          <w:sz w:val="24"/>
          <w:szCs w:val="24"/>
          <w:lang w:val="en-US" w:eastAsia="es-CO"/>
        </w:rPr>
        <w:t>nant</w:t>
      </w:r>
      <w:r w:rsidR="00265FE2">
        <w:rPr>
          <w:rFonts w:ascii="Arial" w:hAnsi="Arial" w:cs="Arial"/>
          <w:noProof/>
          <w:sz w:val="24"/>
          <w:szCs w:val="24"/>
          <w:lang w:val="en-US" w:eastAsia="es-CO"/>
        </w:rPr>
        <w:t xml:space="preserve"> in people </w:t>
      </w:r>
      <w:r w:rsidR="00512526">
        <w:rPr>
          <w:rFonts w:ascii="Arial" w:hAnsi="Arial" w:cs="Arial"/>
          <w:noProof/>
          <w:sz w:val="24"/>
          <w:szCs w:val="24"/>
          <w:lang w:val="en-US" w:eastAsia="es-CO"/>
        </w:rPr>
        <w:t xml:space="preserve">aged between </w:t>
      </w:r>
      <w:r w:rsidR="00512526" w:rsidRPr="00512526">
        <w:rPr>
          <w:rFonts w:ascii="Arial" w:hAnsi="Arial" w:cs="Arial"/>
          <w:sz w:val="24"/>
          <w:szCs w:val="24"/>
          <w:lang w:val="en-US"/>
        </w:rPr>
        <w:t>40-80</w:t>
      </w:r>
      <w:r w:rsidR="00512526">
        <w:rPr>
          <w:rFonts w:ascii="Arial" w:hAnsi="Arial" w:cs="Arial"/>
          <w:sz w:val="24"/>
          <w:szCs w:val="24"/>
          <w:lang w:val="en-US"/>
        </w:rPr>
        <w:t xml:space="preserve"> years old</w:t>
      </w:r>
      <w:r w:rsidR="00511C02" w:rsidRPr="00511C02">
        <w:rPr>
          <w:rFonts w:ascii="Arial" w:hAnsi="Arial" w:cs="Arial"/>
          <w:sz w:val="24"/>
          <w:szCs w:val="24"/>
          <w:vertAlign w:val="superscript"/>
          <w:lang w:val="en-US"/>
        </w:rPr>
        <w:t>(</w:t>
      </w:r>
      <w:r w:rsidR="00512526" w:rsidRPr="00512526">
        <w:rPr>
          <w:rFonts w:ascii="Arial" w:hAnsi="Arial" w:cs="Arial"/>
          <w:sz w:val="24"/>
          <w:szCs w:val="24"/>
          <w:vertAlign w:val="superscript"/>
          <w:lang w:val="en-US"/>
        </w:rPr>
        <w:t>32</w:t>
      </w:r>
      <w:r w:rsidR="00511C02">
        <w:rPr>
          <w:rFonts w:ascii="Arial" w:hAnsi="Arial" w:cs="Arial"/>
          <w:sz w:val="24"/>
          <w:szCs w:val="24"/>
          <w:vertAlign w:val="superscript"/>
          <w:lang w:val="en-US"/>
        </w:rPr>
        <w:t>)</w:t>
      </w:r>
      <w:r w:rsidR="00512526" w:rsidRPr="00512526">
        <w:rPr>
          <w:rFonts w:ascii="Arial" w:hAnsi="Arial" w:cs="Arial"/>
          <w:sz w:val="24"/>
          <w:szCs w:val="24"/>
          <w:lang w:val="en-US"/>
        </w:rPr>
        <w:t>.</w:t>
      </w:r>
    </w:p>
    <w:p w:rsidR="00512526" w:rsidRPr="001531BB" w:rsidRDefault="00512526" w:rsidP="00B95465">
      <w:pPr>
        <w:tabs>
          <w:tab w:val="left" w:pos="4564"/>
        </w:tabs>
        <w:spacing w:line="240" w:lineRule="auto"/>
        <w:jc w:val="both"/>
        <w:rPr>
          <w:rFonts w:ascii="Arial" w:hAnsi="Arial" w:cs="Arial"/>
          <w:sz w:val="24"/>
          <w:szCs w:val="24"/>
          <w:lang w:val="en-US"/>
        </w:rPr>
      </w:pPr>
      <w:r>
        <w:rPr>
          <w:rFonts w:ascii="Arial" w:hAnsi="Arial" w:cs="Arial"/>
          <w:sz w:val="24"/>
          <w:szCs w:val="24"/>
          <w:lang w:val="en-US"/>
        </w:rPr>
        <w:t xml:space="preserve">Another important aspect of this </w:t>
      </w:r>
      <w:r w:rsidR="006660BB">
        <w:rPr>
          <w:rFonts w:ascii="Arial" w:hAnsi="Arial" w:cs="Arial"/>
          <w:sz w:val="24"/>
          <w:szCs w:val="24"/>
          <w:lang w:val="en-US"/>
        </w:rPr>
        <w:t>study</w:t>
      </w:r>
      <w:r>
        <w:rPr>
          <w:rFonts w:ascii="Arial" w:hAnsi="Arial" w:cs="Arial"/>
          <w:sz w:val="24"/>
          <w:szCs w:val="24"/>
          <w:lang w:val="en-US"/>
        </w:rPr>
        <w:t xml:space="preserve"> is the fact of finding exposure to biomass smoke, tobacco use, and pas</w:t>
      </w:r>
      <w:r w:rsidR="005668C9">
        <w:rPr>
          <w:rFonts w:ascii="Arial" w:hAnsi="Arial" w:cs="Arial"/>
          <w:sz w:val="24"/>
          <w:szCs w:val="24"/>
          <w:lang w:val="en-US"/>
        </w:rPr>
        <w:t>sive exposure due to</w:t>
      </w:r>
      <w:r>
        <w:rPr>
          <w:rFonts w:ascii="Arial" w:hAnsi="Arial" w:cs="Arial"/>
          <w:sz w:val="24"/>
          <w:szCs w:val="24"/>
          <w:lang w:val="en-US"/>
        </w:rPr>
        <w:t xml:space="preserve"> second-hand tobacco use</w:t>
      </w:r>
      <w:r w:rsidR="002C704D">
        <w:rPr>
          <w:rFonts w:ascii="Arial" w:hAnsi="Arial" w:cs="Arial"/>
          <w:sz w:val="24"/>
          <w:szCs w:val="24"/>
          <w:lang w:val="en-US"/>
        </w:rPr>
        <w:t xml:space="preserve">, </w:t>
      </w:r>
      <w:r>
        <w:rPr>
          <w:rFonts w:ascii="Arial" w:hAnsi="Arial" w:cs="Arial"/>
          <w:sz w:val="24"/>
          <w:szCs w:val="24"/>
          <w:lang w:val="en-US"/>
        </w:rPr>
        <w:t>o</w:t>
      </w:r>
      <w:r w:rsidR="002C704D">
        <w:rPr>
          <w:rFonts w:ascii="Arial" w:hAnsi="Arial" w:cs="Arial"/>
          <w:sz w:val="24"/>
          <w:szCs w:val="24"/>
          <w:lang w:val="en-US"/>
        </w:rPr>
        <w:t>n</w:t>
      </w:r>
      <w:r w:rsidR="00B539DF">
        <w:rPr>
          <w:rFonts w:ascii="Arial" w:hAnsi="Arial" w:cs="Arial"/>
          <w:sz w:val="24"/>
          <w:szCs w:val="24"/>
          <w:lang w:val="en-US"/>
        </w:rPr>
        <w:t xml:space="preserve"> </w:t>
      </w:r>
      <w:r w:rsidR="003A0067">
        <w:rPr>
          <w:rFonts w:ascii="Arial" w:hAnsi="Arial" w:cs="Arial"/>
          <w:sz w:val="24"/>
          <w:szCs w:val="24"/>
          <w:lang w:val="en-US"/>
        </w:rPr>
        <w:t xml:space="preserve">the </w:t>
      </w:r>
      <w:r>
        <w:rPr>
          <w:rFonts w:ascii="Arial" w:hAnsi="Arial" w:cs="Arial"/>
          <w:sz w:val="24"/>
          <w:szCs w:val="24"/>
          <w:lang w:val="en-US"/>
        </w:rPr>
        <w:t>female</w:t>
      </w:r>
      <w:r w:rsidR="00B539DF">
        <w:rPr>
          <w:rFonts w:ascii="Arial" w:hAnsi="Arial" w:cs="Arial"/>
          <w:sz w:val="24"/>
          <w:szCs w:val="24"/>
          <w:lang w:val="en-US"/>
        </w:rPr>
        <w:t xml:space="preserve"> population</w:t>
      </w:r>
      <w:r w:rsidR="00873DF6">
        <w:rPr>
          <w:rFonts w:ascii="Arial" w:hAnsi="Arial" w:cs="Arial"/>
          <w:sz w:val="24"/>
          <w:szCs w:val="24"/>
          <w:lang w:val="en-US"/>
        </w:rPr>
        <w:t>. T</w:t>
      </w:r>
      <w:r w:rsidR="003B7B3C">
        <w:rPr>
          <w:rFonts w:ascii="Arial" w:hAnsi="Arial" w:cs="Arial"/>
          <w:sz w:val="24"/>
          <w:szCs w:val="24"/>
          <w:lang w:val="en-US"/>
        </w:rPr>
        <w:t>his aspect</w:t>
      </w:r>
      <w:r w:rsidR="00873DF6">
        <w:rPr>
          <w:rFonts w:ascii="Arial" w:hAnsi="Arial" w:cs="Arial"/>
          <w:sz w:val="24"/>
          <w:szCs w:val="24"/>
          <w:lang w:val="en-US"/>
        </w:rPr>
        <w:t xml:space="preserve"> should be assumed</w:t>
      </w:r>
      <w:r w:rsidR="003B7B3C">
        <w:rPr>
          <w:rFonts w:ascii="Arial" w:hAnsi="Arial" w:cs="Arial"/>
          <w:sz w:val="24"/>
          <w:szCs w:val="24"/>
          <w:lang w:val="en-US"/>
        </w:rPr>
        <w:t xml:space="preserve"> as a relevant fact, </w:t>
      </w:r>
      <w:r w:rsidR="00873DF6">
        <w:rPr>
          <w:rFonts w:ascii="Arial" w:hAnsi="Arial" w:cs="Arial"/>
          <w:sz w:val="24"/>
          <w:szCs w:val="24"/>
          <w:lang w:val="en-US"/>
        </w:rPr>
        <w:t>considering that at</w:t>
      </w:r>
      <w:r w:rsidR="00917F66">
        <w:rPr>
          <w:rFonts w:ascii="Arial" w:hAnsi="Arial" w:cs="Arial"/>
          <w:sz w:val="24"/>
          <w:szCs w:val="24"/>
          <w:lang w:val="en-US"/>
        </w:rPr>
        <w:t xml:space="preserve"> the moment</w:t>
      </w:r>
      <w:r w:rsidR="006660BB">
        <w:rPr>
          <w:rFonts w:ascii="Arial" w:hAnsi="Arial" w:cs="Arial"/>
          <w:sz w:val="24"/>
          <w:szCs w:val="24"/>
          <w:lang w:val="en-US"/>
        </w:rPr>
        <w:t>,</w:t>
      </w:r>
      <w:r w:rsidR="00917CE8">
        <w:rPr>
          <w:rFonts w:ascii="Arial" w:hAnsi="Arial" w:cs="Arial"/>
          <w:sz w:val="24"/>
          <w:szCs w:val="24"/>
          <w:lang w:val="en-US"/>
        </w:rPr>
        <w:t xml:space="preserve"> the causes of the COPD are determined a</w:t>
      </w:r>
      <w:r w:rsidR="00917F66">
        <w:rPr>
          <w:rFonts w:ascii="Arial" w:hAnsi="Arial" w:cs="Arial"/>
          <w:sz w:val="24"/>
          <w:szCs w:val="24"/>
          <w:lang w:val="en-US"/>
        </w:rPr>
        <w:t xml:space="preserve">s multifactorial, </w:t>
      </w:r>
      <w:r w:rsidR="00873DF6">
        <w:rPr>
          <w:rFonts w:ascii="Arial" w:hAnsi="Arial" w:cs="Arial"/>
          <w:sz w:val="24"/>
          <w:szCs w:val="24"/>
          <w:lang w:val="en-US"/>
        </w:rPr>
        <w:t xml:space="preserve">including genetic factors as well as environmental factors. </w:t>
      </w:r>
      <w:r w:rsidR="002C704D">
        <w:rPr>
          <w:rFonts w:ascii="Arial" w:hAnsi="Arial" w:cs="Arial"/>
          <w:sz w:val="24"/>
          <w:szCs w:val="24"/>
          <w:lang w:val="en-US"/>
        </w:rPr>
        <w:t xml:space="preserve">Specifically for the biomass combustion, current literature reports that the smoke it produces </w:t>
      </w:r>
      <w:r w:rsidR="00873DF6">
        <w:rPr>
          <w:rFonts w:ascii="Arial" w:hAnsi="Arial" w:cs="Arial"/>
          <w:sz w:val="24"/>
          <w:szCs w:val="24"/>
          <w:lang w:val="en-US"/>
        </w:rPr>
        <w:t>contains more</w:t>
      </w:r>
      <w:r w:rsidR="006660BB">
        <w:rPr>
          <w:rFonts w:ascii="Arial" w:hAnsi="Arial" w:cs="Arial"/>
          <w:sz w:val="24"/>
          <w:szCs w:val="24"/>
          <w:lang w:val="en-US"/>
        </w:rPr>
        <w:t xml:space="preserve"> than 250 </w:t>
      </w:r>
      <w:r w:rsidR="00DA3449">
        <w:rPr>
          <w:rFonts w:ascii="Arial" w:hAnsi="Arial" w:cs="Arial"/>
          <w:sz w:val="24"/>
          <w:szCs w:val="24"/>
          <w:lang w:val="en-US"/>
        </w:rPr>
        <w:t xml:space="preserve">organic compounds that </w:t>
      </w:r>
      <w:r w:rsidR="006660BB">
        <w:rPr>
          <w:rFonts w:ascii="Arial" w:hAnsi="Arial" w:cs="Arial"/>
          <w:sz w:val="24"/>
          <w:szCs w:val="24"/>
          <w:lang w:val="en-US"/>
        </w:rPr>
        <w:t xml:space="preserve">generate a high level of environmental </w:t>
      </w:r>
      <w:r w:rsidR="00DA3449">
        <w:rPr>
          <w:rFonts w:ascii="Arial" w:hAnsi="Arial" w:cs="Arial"/>
          <w:sz w:val="24"/>
          <w:szCs w:val="24"/>
          <w:lang w:val="en-US"/>
        </w:rPr>
        <w:t>contamination and</w:t>
      </w:r>
      <w:r w:rsidR="006660BB">
        <w:rPr>
          <w:rFonts w:ascii="Arial" w:hAnsi="Arial" w:cs="Arial"/>
          <w:sz w:val="24"/>
          <w:szCs w:val="24"/>
          <w:lang w:val="en-US"/>
        </w:rPr>
        <w:t xml:space="preserve"> particles of matter </w:t>
      </w:r>
      <w:r w:rsidR="00DA3449">
        <w:rPr>
          <w:rFonts w:ascii="Arial" w:hAnsi="Arial" w:cs="Arial"/>
          <w:sz w:val="24"/>
          <w:szCs w:val="24"/>
          <w:lang w:val="en-US"/>
        </w:rPr>
        <w:t>that can be absorbed</w:t>
      </w:r>
      <w:r w:rsidR="006660BB">
        <w:rPr>
          <w:rFonts w:ascii="Arial" w:hAnsi="Arial" w:cs="Arial"/>
          <w:sz w:val="24"/>
          <w:szCs w:val="24"/>
          <w:lang w:val="en-US"/>
        </w:rPr>
        <w:t xml:space="preserve"> </w:t>
      </w:r>
      <w:r w:rsidR="00DA3449">
        <w:rPr>
          <w:rFonts w:ascii="Arial" w:hAnsi="Arial" w:cs="Arial"/>
          <w:sz w:val="24"/>
          <w:szCs w:val="24"/>
          <w:lang w:val="en-US"/>
        </w:rPr>
        <w:t xml:space="preserve">through the air, </w:t>
      </w:r>
      <w:r w:rsidR="006660BB">
        <w:rPr>
          <w:rFonts w:ascii="Arial" w:hAnsi="Arial" w:cs="Arial"/>
          <w:sz w:val="24"/>
          <w:szCs w:val="24"/>
          <w:lang w:val="en-US"/>
        </w:rPr>
        <w:t>triggering</w:t>
      </w:r>
      <w:r w:rsidR="00DA3449">
        <w:rPr>
          <w:rFonts w:ascii="Arial" w:hAnsi="Arial" w:cs="Arial"/>
          <w:sz w:val="24"/>
          <w:szCs w:val="24"/>
          <w:lang w:val="en-US"/>
        </w:rPr>
        <w:t xml:space="preserve"> </w:t>
      </w:r>
      <w:r w:rsidR="006660BB">
        <w:rPr>
          <w:rFonts w:ascii="Arial" w:hAnsi="Arial" w:cs="Arial"/>
          <w:sz w:val="24"/>
          <w:szCs w:val="24"/>
          <w:lang w:val="en-US"/>
        </w:rPr>
        <w:t>the oxidative stress</w:t>
      </w:r>
      <w:r w:rsidR="002C704D">
        <w:rPr>
          <w:rFonts w:ascii="Arial" w:hAnsi="Arial" w:cs="Arial"/>
          <w:sz w:val="24"/>
          <w:szCs w:val="24"/>
          <w:lang w:val="en-US"/>
        </w:rPr>
        <w:t>,</w:t>
      </w:r>
      <w:r w:rsidR="006660BB">
        <w:rPr>
          <w:rFonts w:ascii="Arial" w:hAnsi="Arial" w:cs="Arial"/>
          <w:sz w:val="24"/>
          <w:szCs w:val="24"/>
          <w:lang w:val="en-US"/>
        </w:rPr>
        <w:t xml:space="preserve"> which constitutes a ri</w:t>
      </w:r>
      <w:r w:rsidR="003A0067">
        <w:rPr>
          <w:rFonts w:ascii="Arial" w:hAnsi="Arial" w:cs="Arial"/>
          <w:sz w:val="24"/>
          <w:szCs w:val="24"/>
          <w:lang w:val="en-US"/>
        </w:rPr>
        <w:t>sk factor not only for the COPD</w:t>
      </w:r>
      <w:r w:rsidR="006660BB">
        <w:rPr>
          <w:rFonts w:ascii="Arial" w:hAnsi="Arial" w:cs="Arial"/>
          <w:sz w:val="24"/>
          <w:szCs w:val="24"/>
          <w:lang w:val="en-US"/>
        </w:rPr>
        <w:t xml:space="preserve"> but also for other type</w:t>
      </w:r>
      <w:r w:rsidR="003A0067">
        <w:rPr>
          <w:rFonts w:ascii="Arial" w:hAnsi="Arial" w:cs="Arial"/>
          <w:sz w:val="24"/>
          <w:szCs w:val="24"/>
          <w:lang w:val="en-US"/>
        </w:rPr>
        <w:t>s</w:t>
      </w:r>
      <w:r w:rsidR="006660BB">
        <w:rPr>
          <w:rFonts w:ascii="Arial" w:hAnsi="Arial" w:cs="Arial"/>
          <w:sz w:val="24"/>
          <w:szCs w:val="24"/>
          <w:lang w:val="en-US"/>
        </w:rPr>
        <w:t xml:space="preserve"> of respiratory diseases.</w:t>
      </w:r>
      <w:r w:rsidR="002C704D">
        <w:rPr>
          <w:rFonts w:ascii="Arial" w:hAnsi="Arial" w:cs="Arial"/>
          <w:sz w:val="24"/>
          <w:szCs w:val="24"/>
          <w:lang w:val="en-US"/>
        </w:rPr>
        <w:t xml:space="preserve"> </w:t>
      </w:r>
      <w:r w:rsidR="00903532">
        <w:rPr>
          <w:rFonts w:ascii="Arial" w:hAnsi="Arial" w:cs="Arial"/>
          <w:sz w:val="24"/>
          <w:szCs w:val="24"/>
          <w:lang w:val="en-US"/>
        </w:rPr>
        <w:t>It</w:t>
      </w:r>
      <w:r w:rsidR="002C704D">
        <w:rPr>
          <w:rFonts w:ascii="Arial" w:hAnsi="Arial" w:cs="Arial"/>
          <w:sz w:val="24"/>
          <w:szCs w:val="24"/>
          <w:lang w:val="en-US"/>
        </w:rPr>
        <w:t xml:space="preserve"> has been reported that the vulnerable population for this type of exposure </w:t>
      </w:r>
      <w:r w:rsidR="00903532" w:rsidRPr="00903532">
        <w:rPr>
          <w:rFonts w:ascii="Arial" w:eastAsia="GulliverRM" w:hAnsi="Arial" w:cs="Arial"/>
          <w:color w:val="000000"/>
          <w:sz w:val="24"/>
          <w:szCs w:val="24"/>
          <w:lang w:val="en-US"/>
        </w:rPr>
        <w:t>predominate</w:t>
      </w:r>
      <w:r w:rsidR="002C704D">
        <w:rPr>
          <w:rFonts w:ascii="Arial" w:hAnsi="Arial" w:cs="Arial"/>
          <w:sz w:val="24"/>
          <w:szCs w:val="24"/>
          <w:lang w:val="en-US"/>
        </w:rPr>
        <w:t xml:space="preserve"> in rural areas </w:t>
      </w:r>
      <w:r w:rsidR="00903532">
        <w:rPr>
          <w:rFonts w:ascii="Arial" w:hAnsi="Arial" w:cs="Arial"/>
          <w:sz w:val="24"/>
          <w:szCs w:val="24"/>
          <w:lang w:val="en-US"/>
        </w:rPr>
        <w:t xml:space="preserve">and on the sociocultural aspect, women and children are more exposed to the biomass smoke </w:t>
      </w:r>
      <w:r w:rsidR="001A4F65">
        <w:rPr>
          <w:rFonts w:ascii="Arial" w:hAnsi="Arial" w:cs="Arial"/>
          <w:sz w:val="24"/>
          <w:szCs w:val="24"/>
          <w:lang w:val="en-US"/>
        </w:rPr>
        <w:t>because</w:t>
      </w:r>
      <w:r w:rsidR="00903532">
        <w:rPr>
          <w:rFonts w:ascii="Arial" w:hAnsi="Arial" w:cs="Arial"/>
          <w:sz w:val="24"/>
          <w:szCs w:val="24"/>
          <w:lang w:val="en-US"/>
        </w:rPr>
        <w:t xml:space="preserve"> their common activity i</w:t>
      </w:r>
      <w:r w:rsidR="001A4F65">
        <w:rPr>
          <w:rFonts w:ascii="Arial" w:hAnsi="Arial" w:cs="Arial"/>
          <w:sz w:val="24"/>
          <w:szCs w:val="24"/>
          <w:lang w:val="en-US"/>
        </w:rPr>
        <w:t>s related to domestic tasks, in particular</w:t>
      </w:r>
      <w:r w:rsidR="003A0067">
        <w:rPr>
          <w:rFonts w:ascii="Arial" w:hAnsi="Arial" w:cs="Arial"/>
          <w:sz w:val="24"/>
          <w:szCs w:val="24"/>
          <w:lang w:val="en-US"/>
        </w:rPr>
        <w:t>,</w:t>
      </w:r>
      <w:r w:rsidR="001A4F65">
        <w:rPr>
          <w:rFonts w:ascii="Arial" w:hAnsi="Arial" w:cs="Arial"/>
          <w:sz w:val="24"/>
          <w:szCs w:val="24"/>
          <w:lang w:val="en-US"/>
        </w:rPr>
        <w:t xml:space="preserve"> the task of</w:t>
      </w:r>
      <w:r w:rsidR="001531BB">
        <w:rPr>
          <w:rFonts w:ascii="Arial" w:hAnsi="Arial" w:cs="Arial"/>
          <w:sz w:val="24"/>
          <w:szCs w:val="24"/>
          <w:lang w:val="en-US"/>
        </w:rPr>
        <w:t xml:space="preserve"> daily</w:t>
      </w:r>
      <w:r w:rsidR="001A4F65">
        <w:rPr>
          <w:rFonts w:ascii="Arial" w:hAnsi="Arial" w:cs="Arial"/>
          <w:sz w:val="24"/>
          <w:szCs w:val="24"/>
          <w:lang w:val="en-US"/>
        </w:rPr>
        <w:t xml:space="preserve"> </w:t>
      </w:r>
      <w:r w:rsidR="001531BB">
        <w:rPr>
          <w:rFonts w:ascii="Arial" w:hAnsi="Arial" w:cs="Arial"/>
          <w:sz w:val="24"/>
          <w:szCs w:val="24"/>
          <w:lang w:val="en-US"/>
        </w:rPr>
        <w:t>firewood cooking</w:t>
      </w:r>
      <w:r w:rsidR="000B62D6" w:rsidRPr="000B62D6">
        <w:rPr>
          <w:rFonts w:ascii="Arial" w:hAnsi="Arial" w:cs="Arial"/>
          <w:sz w:val="24"/>
          <w:szCs w:val="24"/>
          <w:vertAlign w:val="superscript"/>
          <w:lang w:val="en-US"/>
        </w:rPr>
        <w:t>(</w:t>
      </w:r>
      <w:r w:rsidR="001531BB" w:rsidRPr="001531BB">
        <w:rPr>
          <w:rFonts w:ascii="Arial" w:eastAsia="GulliverRM" w:hAnsi="Arial" w:cs="Arial"/>
          <w:color w:val="000000"/>
          <w:sz w:val="24"/>
          <w:szCs w:val="24"/>
          <w:vertAlign w:val="superscript"/>
          <w:lang w:val="en-US"/>
        </w:rPr>
        <w:t>33</w:t>
      </w:r>
      <w:r w:rsidR="000B62D6">
        <w:rPr>
          <w:rFonts w:ascii="Arial" w:eastAsia="GulliverRM" w:hAnsi="Arial" w:cs="Arial"/>
          <w:color w:val="000000"/>
          <w:sz w:val="24"/>
          <w:szCs w:val="24"/>
          <w:vertAlign w:val="superscript"/>
          <w:lang w:val="en-US"/>
        </w:rPr>
        <w:t>)</w:t>
      </w:r>
      <w:r w:rsidR="001531BB" w:rsidRPr="001531BB">
        <w:rPr>
          <w:rFonts w:ascii="Arial" w:eastAsia="GulliverRM" w:hAnsi="Arial" w:cs="Arial"/>
          <w:color w:val="000000"/>
          <w:sz w:val="24"/>
          <w:szCs w:val="24"/>
          <w:lang w:val="en-US"/>
        </w:rPr>
        <w:t>.</w:t>
      </w:r>
      <w:r w:rsidR="001531BB">
        <w:rPr>
          <w:rFonts w:ascii="Arial" w:eastAsia="GulliverRM" w:hAnsi="Arial" w:cs="Arial"/>
          <w:color w:val="000000"/>
          <w:sz w:val="24"/>
          <w:szCs w:val="24"/>
          <w:lang w:val="en-US"/>
        </w:rPr>
        <w:t xml:space="preserve"> The described characteristics coincide with the ones reported in this study, where most of the women are housewives who </w:t>
      </w:r>
      <w:r w:rsidR="003A0067">
        <w:rPr>
          <w:rFonts w:ascii="Arial" w:eastAsia="GulliverRM" w:hAnsi="Arial" w:cs="Arial"/>
          <w:color w:val="000000"/>
          <w:sz w:val="24"/>
          <w:szCs w:val="24"/>
          <w:lang w:val="en-US"/>
        </w:rPr>
        <w:t>mention</w:t>
      </w:r>
      <w:r w:rsidR="001531BB">
        <w:rPr>
          <w:rFonts w:ascii="Arial" w:eastAsia="GulliverRM" w:hAnsi="Arial" w:cs="Arial"/>
          <w:color w:val="000000"/>
          <w:sz w:val="24"/>
          <w:szCs w:val="24"/>
          <w:lang w:val="en-US"/>
        </w:rPr>
        <w:t xml:space="preserve"> having been exposed </w:t>
      </w:r>
      <w:r w:rsidR="00735BD2">
        <w:rPr>
          <w:rFonts w:ascii="Arial" w:eastAsia="GulliverRM" w:hAnsi="Arial" w:cs="Arial"/>
          <w:color w:val="000000"/>
          <w:sz w:val="24"/>
          <w:szCs w:val="24"/>
          <w:lang w:val="en-US"/>
        </w:rPr>
        <w:t xml:space="preserve">to the biomass smoke for long periods of time and also for the evidence of </w:t>
      </w:r>
      <w:r w:rsidR="00AA140E">
        <w:rPr>
          <w:rFonts w:ascii="Arial" w:hAnsi="Arial" w:cs="Arial"/>
          <w:sz w:val="24"/>
          <w:szCs w:val="24"/>
          <w:lang w:val="en-US"/>
        </w:rPr>
        <w:t>statistically significant</w:t>
      </w:r>
      <w:r w:rsidR="00AA140E" w:rsidRPr="00AA140E">
        <w:rPr>
          <w:rFonts w:ascii="Arial" w:hAnsi="Arial" w:cs="Arial"/>
          <w:sz w:val="24"/>
          <w:szCs w:val="24"/>
          <w:lang w:val="en-US"/>
        </w:rPr>
        <w:t xml:space="preserve"> </w:t>
      </w:r>
      <w:r w:rsidR="00AA140E">
        <w:rPr>
          <w:rFonts w:ascii="Arial" w:hAnsi="Arial" w:cs="Arial"/>
          <w:sz w:val="24"/>
          <w:szCs w:val="24"/>
          <w:lang w:val="en-US"/>
        </w:rPr>
        <w:t>differences</w:t>
      </w:r>
      <w:r w:rsidR="00735BD2">
        <w:rPr>
          <w:rFonts w:ascii="Arial" w:eastAsia="GulliverRM" w:hAnsi="Arial" w:cs="Arial"/>
          <w:color w:val="000000"/>
          <w:sz w:val="24"/>
          <w:szCs w:val="24"/>
          <w:lang w:val="en-US"/>
        </w:rPr>
        <w:t xml:space="preserve"> among some of the dimensions of the health promoting lifestyle and the factor of exposure to the biomass smoke.</w:t>
      </w:r>
    </w:p>
    <w:p w:rsidR="00050626" w:rsidRPr="002D1D6F" w:rsidRDefault="00050626" w:rsidP="00FF0340">
      <w:pPr>
        <w:jc w:val="both"/>
        <w:rPr>
          <w:rFonts w:ascii="Arial" w:hAnsi="Arial" w:cs="Arial"/>
          <w:sz w:val="24"/>
          <w:szCs w:val="24"/>
          <w:lang w:val="en-US"/>
        </w:rPr>
      </w:pPr>
      <w:r w:rsidRPr="00050626">
        <w:rPr>
          <w:rFonts w:ascii="Arial" w:hAnsi="Arial" w:cs="Arial"/>
          <w:sz w:val="24"/>
          <w:szCs w:val="24"/>
          <w:lang w:val="en-US"/>
        </w:rPr>
        <w:t>Regarding the heal</w:t>
      </w:r>
      <w:r>
        <w:rPr>
          <w:rFonts w:ascii="Arial" w:hAnsi="Arial" w:cs="Arial"/>
          <w:sz w:val="24"/>
          <w:szCs w:val="24"/>
          <w:lang w:val="en-US"/>
        </w:rPr>
        <w:t>th promotion behaviors exists</w:t>
      </w:r>
      <w:r w:rsidRPr="00050626">
        <w:rPr>
          <w:rFonts w:ascii="Arial" w:hAnsi="Arial" w:cs="Arial"/>
          <w:sz w:val="24"/>
          <w:szCs w:val="24"/>
          <w:lang w:val="en-US"/>
        </w:rPr>
        <w:t xml:space="preserve"> a similar behavior </w:t>
      </w:r>
      <w:r>
        <w:rPr>
          <w:rFonts w:ascii="Arial" w:hAnsi="Arial" w:cs="Arial"/>
          <w:sz w:val="24"/>
          <w:szCs w:val="24"/>
          <w:lang w:val="en-US"/>
        </w:rPr>
        <w:t>in the average obtained in both men and women, and there is no significant differences by genre. Similarly, there is evidence that both coincide on low scores in the dimension related to physical activity and nutrition; and high scores in the dimension related to the spiritual growth. These results show the reduction of health promoting behaviors in a population in which mature adults and elderly adults</w:t>
      </w:r>
      <w:r w:rsidR="00F92512">
        <w:rPr>
          <w:rFonts w:ascii="Arial" w:hAnsi="Arial" w:cs="Arial"/>
          <w:sz w:val="24"/>
          <w:szCs w:val="24"/>
          <w:lang w:val="en-US"/>
        </w:rPr>
        <w:t xml:space="preserve"> are predominant</w:t>
      </w:r>
      <w:r w:rsidR="00B02A91">
        <w:rPr>
          <w:rFonts w:ascii="Arial" w:hAnsi="Arial" w:cs="Arial"/>
          <w:sz w:val="24"/>
          <w:szCs w:val="24"/>
          <w:lang w:val="en-US"/>
        </w:rPr>
        <w:t>, and most of them belong to low social stratum, with a schooling level of primary school and a high level of unemployment who despite this condition, present independence to perform the activities of daily living (ADL)</w:t>
      </w:r>
      <w:r w:rsidR="007270D5">
        <w:rPr>
          <w:rFonts w:ascii="Arial" w:hAnsi="Arial" w:cs="Arial"/>
          <w:sz w:val="24"/>
          <w:szCs w:val="24"/>
          <w:lang w:val="en-US"/>
        </w:rPr>
        <w:t xml:space="preserve">. Nevertheless, </w:t>
      </w:r>
      <w:r w:rsidR="00550CF7">
        <w:rPr>
          <w:rFonts w:ascii="Arial" w:hAnsi="Arial" w:cs="Arial"/>
          <w:sz w:val="24"/>
          <w:szCs w:val="24"/>
          <w:lang w:val="en-US"/>
        </w:rPr>
        <w:t>when looking for an associatio</w:t>
      </w:r>
      <w:r w:rsidR="006F381F">
        <w:rPr>
          <w:rFonts w:ascii="Arial" w:hAnsi="Arial" w:cs="Arial"/>
          <w:sz w:val="24"/>
          <w:szCs w:val="24"/>
          <w:lang w:val="en-US"/>
        </w:rPr>
        <w:t>n of</w:t>
      </w:r>
      <w:r w:rsidR="00D109A6">
        <w:rPr>
          <w:rFonts w:ascii="Arial" w:hAnsi="Arial" w:cs="Arial"/>
          <w:sz w:val="24"/>
          <w:szCs w:val="24"/>
          <w:lang w:val="en-US"/>
        </w:rPr>
        <w:t xml:space="preserve"> these variables with people’s </w:t>
      </w:r>
      <w:r w:rsidR="001A1658">
        <w:rPr>
          <w:rFonts w:ascii="Arial" w:hAnsi="Arial" w:cs="Arial"/>
          <w:sz w:val="24"/>
          <w:szCs w:val="24"/>
          <w:lang w:val="en-US"/>
        </w:rPr>
        <w:t>health-</w:t>
      </w:r>
      <w:r w:rsidR="00550CF7">
        <w:rPr>
          <w:rFonts w:ascii="Arial" w:hAnsi="Arial" w:cs="Arial"/>
          <w:sz w:val="24"/>
          <w:szCs w:val="24"/>
          <w:lang w:val="en-US"/>
        </w:rPr>
        <w:t>promoti</w:t>
      </w:r>
      <w:r w:rsidR="00270086">
        <w:rPr>
          <w:rFonts w:ascii="Arial" w:hAnsi="Arial" w:cs="Arial"/>
          <w:sz w:val="24"/>
          <w:szCs w:val="24"/>
          <w:lang w:val="en-US"/>
        </w:rPr>
        <w:t>ng lifestyle, there are no</w:t>
      </w:r>
      <w:r w:rsidR="00AA140E">
        <w:rPr>
          <w:rFonts w:ascii="Arial" w:hAnsi="Arial" w:cs="Arial"/>
          <w:sz w:val="24"/>
          <w:szCs w:val="24"/>
          <w:lang w:val="en-US"/>
        </w:rPr>
        <w:t xml:space="preserve"> statistically</w:t>
      </w:r>
      <w:r w:rsidR="00550CF7">
        <w:rPr>
          <w:rFonts w:ascii="Arial" w:hAnsi="Arial" w:cs="Arial"/>
          <w:sz w:val="24"/>
          <w:szCs w:val="24"/>
          <w:lang w:val="en-US"/>
        </w:rPr>
        <w:t xml:space="preserve"> </w:t>
      </w:r>
      <w:r w:rsidR="00AA140E">
        <w:rPr>
          <w:rFonts w:ascii="Arial" w:hAnsi="Arial" w:cs="Arial"/>
          <w:sz w:val="24"/>
          <w:szCs w:val="24"/>
          <w:lang w:val="en-US"/>
        </w:rPr>
        <w:t>significant</w:t>
      </w:r>
      <w:r w:rsidR="00AA140E" w:rsidRPr="00AA140E">
        <w:rPr>
          <w:rFonts w:ascii="Arial" w:hAnsi="Arial" w:cs="Arial"/>
          <w:sz w:val="24"/>
          <w:szCs w:val="24"/>
          <w:lang w:val="en-US"/>
        </w:rPr>
        <w:t xml:space="preserve"> </w:t>
      </w:r>
      <w:r w:rsidR="006F381F">
        <w:rPr>
          <w:rFonts w:ascii="Arial" w:hAnsi="Arial" w:cs="Arial"/>
          <w:sz w:val="24"/>
          <w:szCs w:val="24"/>
          <w:lang w:val="en-US"/>
        </w:rPr>
        <w:t>differences. T</w:t>
      </w:r>
      <w:r w:rsidR="00AA140E">
        <w:rPr>
          <w:rFonts w:ascii="Arial" w:hAnsi="Arial" w:cs="Arial"/>
          <w:sz w:val="24"/>
          <w:szCs w:val="24"/>
          <w:lang w:val="en-US"/>
        </w:rPr>
        <w:t xml:space="preserve">hese data coincide with the ones reported by </w:t>
      </w:r>
      <w:r w:rsidR="00AA140E" w:rsidRPr="00AA140E">
        <w:rPr>
          <w:rFonts w:ascii="Arial" w:hAnsi="Arial" w:cs="Arial"/>
          <w:sz w:val="24"/>
          <w:szCs w:val="24"/>
          <w:lang w:val="en-US"/>
        </w:rPr>
        <w:t>Patricia Cid</w:t>
      </w:r>
      <w:r w:rsidR="000B62D6" w:rsidRPr="000B62D6">
        <w:rPr>
          <w:rFonts w:ascii="Arial" w:hAnsi="Arial" w:cs="Arial"/>
          <w:sz w:val="24"/>
          <w:szCs w:val="24"/>
          <w:vertAlign w:val="superscript"/>
          <w:lang w:val="en-US"/>
        </w:rPr>
        <w:t>(</w:t>
      </w:r>
      <w:r w:rsidR="00AA140E" w:rsidRPr="00AA140E">
        <w:rPr>
          <w:rFonts w:ascii="Arial" w:hAnsi="Arial" w:cs="Arial"/>
          <w:sz w:val="24"/>
          <w:szCs w:val="24"/>
          <w:vertAlign w:val="superscript"/>
          <w:lang w:val="en-US"/>
        </w:rPr>
        <w:t>34</w:t>
      </w:r>
      <w:r w:rsidR="000B62D6">
        <w:rPr>
          <w:rFonts w:ascii="Arial" w:hAnsi="Arial" w:cs="Arial"/>
          <w:sz w:val="24"/>
          <w:szCs w:val="24"/>
          <w:vertAlign w:val="superscript"/>
          <w:lang w:val="en-US"/>
        </w:rPr>
        <w:t>)</w:t>
      </w:r>
      <w:r w:rsidR="00AA140E" w:rsidRPr="00AA140E">
        <w:rPr>
          <w:rFonts w:ascii="Arial" w:hAnsi="Arial" w:cs="Arial"/>
          <w:sz w:val="24"/>
          <w:szCs w:val="24"/>
          <w:vertAlign w:val="superscript"/>
          <w:lang w:val="en-US"/>
        </w:rPr>
        <w:t xml:space="preserve"> </w:t>
      </w:r>
      <w:r w:rsidR="00AA140E" w:rsidRPr="00AA140E">
        <w:rPr>
          <w:rFonts w:ascii="Arial" w:hAnsi="Arial" w:cs="Arial"/>
          <w:sz w:val="24"/>
          <w:szCs w:val="24"/>
          <w:lang w:val="en-US"/>
        </w:rPr>
        <w:t>et al,</w:t>
      </w:r>
      <w:r w:rsidR="00AA140E">
        <w:rPr>
          <w:rFonts w:ascii="Arial" w:hAnsi="Arial" w:cs="Arial"/>
          <w:sz w:val="24"/>
          <w:szCs w:val="24"/>
          <w:lang w:val="en-US"/>
        </w:rPr>
        <w:t xml:space="preserve"> who evaluated the psychological, biological factors that predict the health</w:t>
      </w:r>
      <w:r w:rsidR="002D1D6F">
        <w:rPr>
          <w:rFonts w:ascii="Arial" w:hAnsi="Arial" w:cs="Arial"/>
          <w:sz w:val="24"/>
          <w:szCs w:val="24"/>
          <w:lang w:val="en-US"/>
        </w:rPr>
        <w:t xml:space="preserve"> promotion lifestyle in a population with people between </w:t>
      </w:r>
      <w:r w:rsidR="002D1D6F" w:rsidRPr="002D1D6F">
        <w:rPr>
          <w:rFonts w:ascii="Arial" w:hAnsi="Arial" w:cs="Arial"/>
          <w:sz w:val="24"/>
          <w:szCs w:val="24"/>
          <w:lang w:val="en-US"/>
        </w:rPr>
        <w:t>15–64</w:t>
      </w:r>
      <w:r w:rsidR="002D1D6F">
        <w:rPr>
          <w:rFonts w:ascii="Arial" w:hAnsi="Arial" w:cs="Arial"/>
          <w:sz w:val="24"/>
          <w:szCs w:val="24"/>
          <w:lang w:val="en-US"/>
        </w:rPr>
        <w:t xml:space="preserve"> years old, with no evidence of an as</w:t>
      </w:r>
      <w:r w:rsidR="006F381F">
        <w:rPr>
          <w:rFonts w:ascii="Arial" w:hAnsi="Arial" w:cs="Arial"/>
          <w:sz w:val="24"/>
          <w:szCs w:val="24"/>
          <w:lang w:val="en-US"/>
        </w:rPr>
        <w:t>sociation between</w:t>
      </w:r>
      <w:r w:rsidR="00EB1181">
        <w:rPr>
          <w:rFonts w:ascii="Arial" w:hAnsi="Arial" w:cs="Arial"/>
          <w:sz w:val="24"/>
          <w:szCs w:val="24"/>
          <w:lang w:val="en-US"/>
        </w:rPr>
        <w:t xml:space="preserve"> these variables. </w:t>
      </w:r>
    </w:p>
    <w:p w:rsidR="001A1658" w:rsidRDefault="002A4668" w:rsidP="00FF0340">
      <w:pPr>
        <w:jc w:val="both"/>
        <w:rPr>
          <w:rFonts w:ascii="Arial" w:hAnsi="Arial" w:cs="Arial"/>
          <w:sz w:val="24"/>
          <w:szCs w:val="24"/>
          <w:lang w:val="en-US"/>
        </w:rPr>
      </w:pPr>
      <w:r>
        <w:rPr>
          <w:rFonts w:ascii="Arial" w:hAnsi="Arial" w:cs="Arial"/>
          <w:sz w:val="24"/>
          <w:szCs w:val="24"/>
          <w:lang w:val="en-US"/>
        </w:rPr>
        <w:t>As contrasting data</w:t>
      </w:r>
      <w:r w:rsidR="006F381F">
        <w:rPr>
          <w:rFonts w:ascii="Arial" w:hAnsi="Arial" w:cs="Arial"/>
          <w:sz w:val="24"/>
          <w:szCs w:val="24"/>
          <w:lang w:val="en-US"/>
        </w:rPr>
        <w:t>,</w:t>
      </w:r>
      <w:r>
        <w:rPr>
          <w:rFonts w:ascii="Arial" w:hAnsi="Arial" w:cs="Arial"/>
          <w:sz w:val="24"/>
          <w:szCs w:val="24"/>
          <w:lang w:val="en-US"/>
        </w:rPr>
        <w:t xml:space="preserve"> </w:t>
      </w:r>
      <w:r w:rsidR="00A07684" w:rsidRPr="00A07684">
        <w:rPr>
          <w:rFonts w:ascii="Arial" w:hAnsi="Arial" w:cs="Arial"/>
          <w:sz w:val="24"/>
          <w:szCs w:val="24"/>
          <w:lang w:val="en-US"/>
        </w:rPr>
        <w:t>the study of Vidal Gutiérrez</w:t>
      </w:r>
      <w:r w:rsidR="00511C02" w:rsidRPr="00511C02">
        <w:rPr>
          <w:rFonts w:ascii="Arial" w:hAnsi="Arial" w:cs="Arial"/>
          <w:sz w:val="24"/>
          <w:szCs w:val="24"/>
          <w:vertAlign w:val="superscript"/>
          <w:lang w:val="en-US"/>
        </w:rPr>
        <w:t>(</w:t>
      </w:r>
      <w:r w:rsidR="00A07684" w:rsidRPr="00A07684">
        <w:rPr>
          <w:rFonts w:ascii="Arial" w:hAnsi="Arial" w:cs="Arial"/>
          <w:sz w:val="24"/>
          <w:szCs w:val="24"/>
          <w:vertAlign w:val="superscript"/>
          <w:lang w:val="en-US"/>
        </w:rPr>
        <w:t>35</w:t>
      </w:r>
      <w:r w:rsidR="00511C02">
        <w:rPr>
          <w:rFonts w:ascii="Arial" w:hAnsi="Arial" w:cs="Arial"/>
          <w:sz w:val="24"/>
          <w:szCs w:val="24"/>
          <w:vertAlign w:val="superscript"/>
          <w:lang w:val="en-US"/>
        </w:rPr>
        <w:t>)</w:t>
      </w:r>
      <w:r>
        <w:rPr>
          <w:rFonts w:ascii="Arial" w:hAnsi="Arial" w:cs="Arial"/>
          <w:sz w:val="24"/>
          <w:szCs w:val="24"/>
          <w:lang w:val="en-US"/>
        </w:rPr>
        <w:t xml:space="preserve"> is taken into consideration.</w:t>
      </w:r>
      <w:r w:rsidR="00653DBE">
        <w:rPr>
          <w:rFonts w:ascii="Arial" w:hAnsi="Arial" w:cs="Arial"/>
          <w:sz w:val="24"/>
          <w:szCs w:val="24"/>
          <w:lang w:val="en-US"/>
        </w:rPr>
        <w:t xml:space="preserve"> Vidal Gutierrez,</w:t>
      </w:r>
      <w:r>
        <w:rPr>
          <w:rFonts w:ascii="Arial" w:hAnsi="Arial" w:cs="Arial"/>
          <w:sz w:val="24"/>
          <w:szCs w:val="24"/>
          <w:lang w:val="en-US"/>
        </w:rPr>
        <w:t xml:space="preserve"> </w:t>
      </w:r>
      <w:r w:rsidR="00A07684">
        <w:rPr>
          <w:rFonts w:ascii="Arial" w:hAnsi="Arial" w:cs="Arial"/>
          <w:sz w:val="24"/>
          <w:szCs w:val="24"/>
          <w:lang w:val="en-US"/>
        </w:rPr>
        <w:t xml:space="preserve">who </w:t>
      </w:r>
      <w:r w:rsidR="005F2514">
        <w:rPr>
          <w:rFonts w:ascii="Arial" w:hAnsi="Arial" w:cs="Arial"/>
          <w:sz w:val="24"/>
          <w:szCs w:val="24"/>
          <w:lang w:val="en-US"/>
        </w:rPr>
        <w:t xml:space="preserve">found a significant </w:t>
      </w:r>
      <w:r w:rsidR="00AD0E1D">
        <w:rPr>
          <w:rFonts w:ascii="Arial" w:hAnsi="Arial" w:cs="Arial"/>
          <w:sz w:val="24"/>
          <w:szCs w:val="24"/>
          <w:lang w:val="en-US"/>
        </w:rPr>
        <w:t>association within the health-</w:t>
      </w:r>
      <w:r w:rsidR="00F369A1">
        <w:rPr>
          <w:rFonts w:ascii="Arial" w:hAnsi="Arial" w:cs="Arial"/>
          <w:sz w:val="24"/>
          <w:szCs w:val="24"/>
          <w:lang w:val="en-US"/>
        </w:rPr>
        <w:t xml:space="preserve">promoting </w:t>
      </w:r>
      <w:r w:rsidR="00AD0E1D">
        <w:rPr>
          <w:rFonts w:ascii="Arial" w:hAnsi="Arial" w:cs="Arial"/>
          <w:sz w:val="24"/>
          <w:szCs w:val="24"/>
          <w:lang w:val="en-US"/>
        </w:rPr>
        <w:t xml:space="preserve">lifestyle with structural determinants </w:t>
      </w:r>
      <w:r w:rsidR="00653DBE">
        <w:rPr>
          <w:rFonts w:ascii="Arial" w:hAnsi="Arial" w:cs="Arial"/>
          <w:sz w:val="24"/>
          <w:szCs w:val="24"/>
          <w:lang w:val="en-US"/>
        </w:rPr>
        <w:t>as</w:t>
      </w:r>
      <w:r w:rsidR="00F369A1">
        <w:rPr>
          <w:rFonts w:ascii="Arial" w:hAnsi="Arial" w:cs="Arial"/>
          <w:sz w:val="24"/>
          <w:szCs w:val="24"/>
          <w:lang w:val="en-US"/>
        </w:rPr>
        <w:t xml:space="preserve"> the place of residence, age, sex, </w:t>
      </w:r>
      <w:r w:rsidR="006F381F">
        <w:rPr>
          <w:rFonts w:ascii="Arial" w:hAnsi="Arial" w:cs="Arial"/>
          <w:sz w:val="24"/>
          <w:szCs w:val="24"/>
          <w:lang w:val="en-US"/>
        </w:rPr>
        <w:t xml:space="preserve">the </w:t>
      </w:r>
      <w:r w:rsidR="00F369A1">
        <w:rPr>
          <w:rFonts w:ascii="Arial" w:hAnsi="Arial" w:cs="Arial"/>
          <w:sz w:val="24"/>
          <w:szCs w:val="24"/>
          <w:lang w:val="en-US"/>
        </w:rPr>
        <w:t>level of education and i</w:t>
      </w:r>
      <w:r w:rsidR="00277974">
        <w:rPr>
          <w:rFonts w:ascii="Arial" w:hAnsi="Arial" w:cs="Arial"/>
          <w:sz w:val="24"/>
          <w:szCs w:val="24"/>
          <w:lang w:val="en-US"/>
        </w:rPr>
        <w:t xml:space="preserve">ncomes in an adult population </w:t>
      </w:r>
      <w:r w:rsidR="00F369A1">
        <w:rPr>
          <w:rFonts w:ascii="Arial" w:hAnsi="Arial" w:cs="Arial"/>
          <w:sz w:val="24"/>
          <w:szCs w:val="24"/>
          <w:lang w:val="en-US"/>
        </w:rPr>
        <w:t xml:space="preserve">between 20-65 years old who attend to health care centers, </w:t>
      </w:r>
      <w:r>
        <w:rPr>
          <w:rFonts w:ascii="Arial" w:hAnsi="Arial" w:cs="Arial"/>
          <w:sz w:val="24"/>
          <w:szCs w:val="24"/>
          <w:lang w:val="en-US"/>
        </w:rPr>
        <w:t>while</w:t>
      </w:r>
      <w:r w:rsidR="00F369A1">
        <w:rPr>
          <w:rFonts w:ascii="Arial" w:hAnsi="Arial" w:cs="Arial"/>
          <w:sz w:val="24"/>
          <w:szCs w:val="24"/>
          <w:lang w:val="en-US"/>
        </w:rPr>
        <w:t xml:space="preserve"> evaluating the existent relationship between the social health determinants and the health-promoting</w:t>
      </w:r>
      <w:r w:rsidR="00277974">
        <w:rPr>
          <w:rFonts w:ascii="Arial" w:hAnsi="Arial" w:cs="Arial"/>
          <w:sz w:val="24"/>
          <w:szCs w:val="24"/>
          <w:lang w:val="en-US"/>
        </w:rPr>
        <w:t xml:space="preserve"> lifestyle. </w:t>
      </w:r>
      <w:r w:rsidR="008C5666">
        <w:rPr>
          <w:rFonts w:ascii="Arial" w:hAnsi="Arial" w:cs="Arial"/>
          <w:sz w:val="24"/>
          <w:szCs w:val="24"/>
          <w:lang w:val="en-US"/>
        </w:rPr>
        <w:t>T</w:t>
      </w:r>
      <w:r w:rsidR="00277974">
        <w:rPr>
          <w:rFonts w:ascii="Arial" w:hAnsi="Arial" w:cs="Arial"/>
          <w:sz w:val="24"/>
          <w:szCs w:val="24"/>
          <w:lang w:val="en-US"/>
        </w:rPr>
        <w:t xml:space="preserve">he study made by </w:t>
      </w:r>
      <w:r w:rsidR="00277974" w:rsidRPr="00277974">
        <w:rPr>
          <w:rFonts w:ascii="Arial" w:hAnsi="Arial" w:cs="Arial"/>
          <w:sz w:val="24"/>
          <w:szCs w:val="24"/>
          <w:lang w:val="en-US"/>
        </w:rPr>
        <w:t>Vidal Gutiérrez ex</w:t>
      </w:r>
      <w:r w:rsidR="00277974">
        <w:rPr>
          <w:rFonts w:ascii="Arial" w:hAnsi="Arial" w:cs="Arial"/>
          <w:sz w:val="24"/>
          <w:szCs w:val="24"/>
          <w:lang w:val="en-US"/>
        </w:rPr>
        <w:t>plores associations regarding gender</w:t>
      </w:r>
      <w:r w:rsidR="00204155">
        <w:rPr>
          <w:rFonts w:ascii="Arial" w:hAnsi="Arial" w:cs="Arial"/>
          <w:sz w:val="24"/>
          <w:szCs w:val="24"/>
          <w:lang w:val="en-US"/>
        </w:rPr>
        <w:t xml:space="preserve"> and </w:t>
      </w:r>
      <w:r w:rsidR="00277974" w:rsidRPr="00277974">
        <w:rPr>
          <w:rFonts w:ascii="Arial" w:hAnsi="Arial" w:cs="Arial"/>
          <w:sz w:val="24"/>
          <w:szCs w:val="24"/>
          <w:lang w:val="en-US"/>
        </w:rPr>
        <w:t xml:space="preserve">emphasizing </w:t>
      </w:r>
      <w:r w:rsidR="008C5666">
        <w:rPr>
          <w:rFonts w:ascii="Arial" w:hAnsi="Arial" w:cs="Arial"/>
          <w:sz w:val="24"/>
          <w:szCs w:val="24"/>
          <w:lang w:val="en-US"/>
        </w:rPr>
        <w:t>on</w:t>
      </w:r>
      <w:r w:rsidR="00277974">
        <w:rPr>
          <w:rFonts w:ascii="Arial" w:hAnsi="Arial" w:cs="Arial"/>
          <w:sz w:val="24"/>
          <w:szCs w:val="24"/>
          <w:lang w:val="en-US"/>
        </w:rPr>
        <w:t xml:space="preserve"> the significant differences found between men and women</w:t>
      </w:r>
      <w:r w:rsidR="00204155">
        <w:rPr>
          <w:rFonts w:ascii="Arial" w:hAnsi="Arial" w:cs="Arial"/>
          <w:sz w:val="24"/>
          <w:szCs w:val="24"/>
          <w:lang w:val="en-US"/>
        </w:rPr>
        <w:t xml:space="preserve"> in the dimensions related to </w:t>
      </w:r>
      <w:r w:rsidR="00277974">
        <w:rPr>
          <w:rFonts w:ascii="Arial" w:hAnsi="Arial" w:cs="Arial"/>
          <w:sz w:val="24"/>
          <w:szCs w:val="24"/>
          <w:lang w:val="en-US"/>
        </w:rPr>
        <w:t>physical activity, stress m</w:t>
      </w:r>
      <w:r w:rsidR="00204155">
        <w:rPr>
          <w:rFonts w:ascii="Arial" w:hAnsi="Arial" w:cs="Arial"/>
          <w:sz w:val="24"/>
          <w:szCs w:val="24"/>
          <w:lang w:val="en-US"/>
        </w:rPr>
        <w:t>anage</w:t>
      </w:r>
      <w:r w:rsidR="00653DBE">
        <w:rPr>
          <w:rFonts w:ascii="Arial" w:hAnsi="Arial" w:cs="Arial"/>
          <w:sz w:val="24"/>
          <w:szCs w:val="24"/>
          <w:lang w:val="en-US"/>
        </w:rPr>
        <w:t>ment</w:t>
      </w:r>
      <w:r w:rsidR="006F381F">
        <w:rPr>
          <w:rFonts w:ascii="Arial" w:hAnsi="Arial" w:cs="Arial"/>
          <w:sz w:val="24"/>
          <w:szCs w:val="24"/>
          <w:lang w:val="en-US"/>
        </w:rPr>
        <w:t>,</w:t>
      </w:r>
      <w:r w:rsidR="00653DBE">
        <w:rPr>
          <w:rFonts w:ascii="Arial" w:hAnsi="Arial" w:cs="Arial"/>
          <w:sz w:val="24"/>
          <w:szCs w:val="24"/>
          <w:lang w:val="en-US"/>
        </w:rPr>
        <w:t xml:space="preserve"> and spiritual growth. Whereas</w:t>
      </w:r>
      <w:r w:rsidR="00204155">
        <w:rPr>
          <w:rFonts w:ascii="Arial" w:hAnsi="Arial" w:cs="Arial"/>
          <w:sz w:val="24"/>
          <w:szCs w:val="24"/>
          <w:lang w:val="en-US"/>
        </w:rPr>
        <w:t xml:space="preserve"> </w:t>
      </w:r>
      <w:r w:rsidR="00277974">
        <w:rPr>
          <w:rFonts w:ascii="Arial" w:hAnsi="Arial" w:cs="Arial"/>
          <w:sz w:val="24"/>
          <w:szCs w:val="24"/>
          <w:lang w:val="en-US"/>
        </w:rPr>
        <w:t>this study</w:t>
      </w:r>
      <w:r w:rsidR="00204155">
        <w:rPr>
          <w:rFonts w:ascii="Arial" w:hAnsi="Arial" w:cs="Arial"/>
          <w:sz w:val="24"/>
          <w:szCs w:val="24"/>
          <w:lang w:val="en-US"/>
        </w:rPr>
        <w:t xml:space="preserve"> shows that</w:t>
      </w:r>
      <w:r w:rsidR="00277974">
        <w:rPr>
          <w:rFonts w:ascii="Arial" w:hAnsi="Arial" w:cs="Arial"/>
          <w:sz w:val="24"/>
          <w:szCs w:val="24"/>
          <w:lang w:val="en-US"/>
        </w:rPr>
        <w:t xml:space="preserve"> </w:t>
      </w:r>
      <w:r w:rsidR="008C5666">
        <w:rPr>
          <w:rFonts w:ascii="Arial" w:hAnsi="Arial" w:cs="Arial"/>
          <w:sz w:val="24"/>
          <w:szCs w:val="24"/>
          <w:lang w:val="en-US"/>
        </w:rPr>
        <w:t>the average in the dimension of physical activity</w:t>
      </w:r>
      <w:r w:rsidR="00204155">
        <w:rPr>
          <w:rFonts w:ascii="Arial" w:hAnsi="Arial" w:cs="Arial"/>
          <w:sz w:val="24"/>
          <w:szCs w:val="24"/>
          <w:lang w:val="en-US"/>
        </w:rPr>
        <w:t xml:space="preserve"> was equally low in both</w:t>
      </w:r>
      <w:r w:rsidR="008C5666">
        <w:rPr>
          <w:rFonts w:ascii="Arial" w:hAnsi="Arial" w:cs="Arial"/>
          <w:sz w:val="24"/>
          <w:szCs w:val="24"/>
          <w:lang w:val="en-US"/>
        </w:rPr>
        <w:t xml:space="preserve"> men and women</w:t>
      </w:r>
      <w:r w:rsidR="00653DBE">
        <w:rPr>
          <w:rFonts w:ascii="Arial" w:hAnsi="Arial" w:cs="Arial"/>
          <w:sz w:val="24"/>
          <w:szCs w:val="24"/>
          <w:lang w:val="en-US"/>
        </w:rPr>
        <w:t xml:space="preserve">, </w:t>
      </w:r>
      <w:r w:rsidR="00204155">
        <w:rPr>
          <w:rFonts w:ascii="Arial" w:hAnsi="Arial" w:cs="Arial"/>
          <w:sz w:val="24"/>
          <w:szCs w:val="24"/>
          <w:lang w:val="en-US"/>
        </w:rPr>
        <w:t>there is a report of high scores regarding the dimension of spirituality for both genres.</w:t>
      </w:r>
    </w:p>
    <w:p w:rsidR="005F4484" w:rsidRDefault="007671B0" w:rsidP="00FF0340">
      <w:pPr>
        <w:jc w:val="both"/>
        <w:rPr>
          <w:rFonts w:ascii="Arial" w:hAnsi="Arial" w:cs="Arial"/>
          <w:sz w:val="24"/>
          <w:szCs w:val="24"/>
          <w:lang w:val="en-US"/>
        </w:rPr>
      </w:pPr>
      <w:r w:rsidRPr="007671B0">
        <w:rPr>
          <w:rFonts w:ascii="Arial" w:hAnsi="Arial" w:cs="Arial"/>
          <w:sz w:val="24"/>
          <w:szCs w:val="24"/>
          <w:lang w:val="en-US"/>
        </w:rPr>
        <w:t xml:space="preserve">Finally, </w:t>
      </w:r>
      <w:r>
        <w:rPr>
          <w:rFonts w:ascii="Arial" w:hAnsi="Arial" w:cs="Arial"/>
          <w:sz w:val="24"/>
          <w:szCs w:val="24"/>
          <w:lang w:val="en-US"/>
        </w:rPr>
        <w:t xml:space="preserve">as </w:t>
      </w:r>
      <w:r w:rsidRPr="007671B0">
        <w:rPr>
          <w:rFonts w:ascii="Arial" w:hAnsi="Arial" w:cs="Arial"/>
          <w:sz w:val="24"/>
          <w:szCs w:val="24"/>
          <w:lang w:val="en-US"/>
        </w:rPr>
        <w:t xml:space="preserve">highlighted </w:t>
      </w:r>
      <w:r w:rsidR="009D3053">
        <w:rPr>
          <w:rFonts w:ascii="Arial" w:hAnsi="Arial" w:cs="Arial"/>
          <w:sz w:val="24"/>
          <w:szCs w:val="24"/>
          <w:lang w:val="en-US"/>
        </w:rPr>
        <w:t>aspects from</w:t>
      </w:r>
      <w:r w:rsidRPr="007671B0">
        <w:rPr>
          <w:rFonts w:ascii="Arial" w:hAnsi="Arial" w:cs="Arial"/>
          <w:sz w:val="24"/>
          <w:szCs w:val="24"/>
          <w:lang w:val="en-US"/>
        </w:rPr>
        <w:t xml:space="preserve"> this study </w:t>
      </w:r>
      <w:r w:rsidR="000B01EF">
        <w:rPr>
          <w:rFonts w:ascii="Arial" w:hAnsi="Arial" w:cs="Arial"/>
          <w:sz w:val="24"/>
          <w:szCs w:val="24"/>
          <w:lang w:val="en-US"/>
        </w:rPr>
        <w:t>are considered,</w:t>
      </w:r>
      <w:r w:rsidRPr="007671B0">
        <w:rPr>
          <w:rFonts w:ascii="Arial" w:hAnsi="Arial" w:cs="Arial"/>
          <w:sz w:val="24"/>
          <w:szCs w:val="24"/>
          <w:lang w:val="en-US"/>
        </w:rPr>
        <w:t xml:space="preserve"> the significant d</w:t>
      </w:r>
      <w:r>
        <w:rPr>
          <w:rFonts w:ascii="Arial" w:hAnsi="Arial" w:cs="Arial"/>
          <w:sz w:val="24"/>
          <w:szCs w:val="24"/>
          <w:lang w:val="en-US"/>
        </w:rPr>
        <w:t>ifferences in people who use oxy</w:t>
      </w:r>
      <w:r w:rsidRPr="007671B0">
        <w:rPr>
          <w:rFonts w:ascii="Arial" w:hAnsi="Arial" w:cs="Arial"/>
          <w:sz w:val="24"/>
          <w:szCs w:val="24"/>
          <w:lang w:val="en-US"/>
        </w:rPr>
        <w:t xml:space="preserve">gen </w:t>
      </w:r>
      <w:r>
        <w:rPr>
          <w:rFonts w:ascii="Arial" w:hAnsi="Arial" w:cs="Arial"/>
          <w:sz w:val="24"/>
          <w:szCs w:val="24"/>
          <w:lang w:val="en-US"/>
        </w:rPr>
        <w:t>(oxygen requiring or oxygen dependent), the</w:t>
      </w:r>
      <w:r w:rsidR="000B01EF">
        <w:rPr>
          <w:rFonts w:ascii="Arial" w:hAnsi="Arial" w:cs="Arial"/>
          <w:sz w:val="24"/>
          <w:szCs w:val="24"/>
          <w:lang w:val="en-US"/>
        </w:rPr>
        <w:t>ir</w:t>
      </w:r>
      <w:r>
        <w:rPr>
          <w:rFonts w:ascii="Arial" w:hAnsi="Arial" w:cs="Arial"/>
          <w:sz w:val="24"/>
          <w:szCs w:val="24"/>
          <w:lang w:val="en-US"/>
        </w:rPr>
        <w:t xml:space="preserve"> physical dependence and the dimension related to physical activity. </w:t>
      </w:r>
      <w:r w:rsidR="0056097E">
        <w:rPr>
          <w:rFonts w:ascii="Arial" w:hAnsi="Arial" w:cs="Arial"/>
          <w:sz w:val="24"/>
          <w:szCs w:val="24"/>
          <w:lang w:val="en-US"/>
        </w:rPr>
        <w:t>With regard to</w:t>
      </w:r>
      <w:r w:rsidR="009D3053">
        <w:rPr>
          <w:rFonts w:ascii="Arial" w:hAnsi="Arial" w:cs="Arial"/>
          <w:sz w:val="24"/>
          <w:szCs w:val="24"/>
          <w:lang w:val="en-US"/>
        </w:rPr>
        <w:t xml:space="preserve"> </w:t>
      </w:r>
      <w:r w:rsidR="000B01EF">
        <w:rPr>
          <w:rFonts w:ascii="Arial" w:hAnsi="Arial" w:cs="Arial"/>
          <w:sz w:val="24"/>
          <w:szCs w:val="24"/>
          <w:lang w:val="en-US"/>
        </w:rPr>
        <w:t xml:space="preserve">the performance </w:t>
      </w:r>
      <w:r w:rsidR="00EE4F95">
        <w:rPr>
          <w:rFonts w:ascii="Arial" w:hAnsi="Arial" w:cs="Arial"/>
          <w:sz w:val="24"/>
          <w:szCs w:val="24"/>
          <w:lang w:val="en-US"/>
        </w:rPr>
        <w:t>of</w:t>
      </w:r>
      <w:r w:rsidR="000B01EF">
        <w:rPr>
          <w:rFonts w:ascii="Arial" w:hAnsi="Arial" w:cs="Arial"/>
          <w:sz w:val="24"/>
          <w:szCs w:val="24"/>
          <w:lang w:val="en-US"/>
        </w:rPr>
        <w:t xml:space="preserve"> basic activit</w:t>
      </w:r>
      <w:r w:rsidR="00EE4F95">
        <w:rPr>
          <w:rFonts w:ascii="Arial" w:hAnsi="Arial" w:cs="Arial"/>
          <w:sz w:val="24"/>
          <w:szCs w:val="24"/>
          <w:lang w:val="en-US"/>
        </w:rPr>
        <w:t xml:space="preserve">ies of </w:t>
      </w:r>
      <w:r w:rsidR="000B01EF">
        <w:rPr>
          <w:rFonts w:ascii="Arial" w:hAnsi="Arial" w:cs="Arial"/>
          <w:sz w:val="24"/>
          <w:szCs w:val="24"/>
          <w:lang w:val="en-US"/>
        </w:rPr>
        <w:t xml:space="preserve">daily life, the lowest </w:t>
      </w:r>
      <w:r w:rsidR="0056097E">
        <w:rPr>
          <w:rFonts w:ascii="Arial" w:hAnsi="Arial" w:cs="Arial"/>
          <w:sz w:val="24"/>
          <w:szCs w:val="24"/>
          <w:lang w:val="en-US"/>
        </w:rPr>
        <w:t>score</w:t>
      </w:r>
      <w:r w:rsidR="000B01EF">
        <w:rPr>
          <w:rFonts w:ascii="Arial" w:hAnsi="Arial" w:cs="Arial"/>
          <w:sz w:val="24"/>
          <w:szCs w:val="24"/>
          <w:lang w:val="en-US"/>
        </w:rPr>
        <w:t xml:space="preserve"> reported </w:t>
      </w:r>
      <w:r w:rsidR="009D3053">
        <w:rPr>
          <w:rFonts w:ascii="Arial" w:hAnsi="Arial" w:cs="Arial"/>
          <w:sz w:val="24"/>
          <w:szCs w:val="24"/>
          <w:lang w:val="en-US"/>
        </w:rPr>
        <w:t>concerning</w:t>
      </w:r>
      <w:r w:rsidR="00EE4F95">
        <w:rPr>
          <w:rFonts w:ascii="Arial" w:hAnsi="Arial" w:cs="Arial"/>
          <w:sz w:val="24"/>
          <w:szCs w:val="24"/>
          <w:lang w:val="en-US"/>
        </w:rPr>
        <w:t xml:space="preserve"> mobility</w:t>
      </w:r>
      <w:r w:rsidR="0056097E">
        <w:rPr>
          <w:rFonts w:ascii="Arial" w:hAnsi="Arial" w:cs="Arial"/>
          <w:sz w:val="24"/>
          <w:szCs w:val="24"/>
          <w:lang w:val="en-US"/>
        </w:rPr>
        <w:t xml:space="preserve">, has to do </w:t>
      </w:r>
      <w:r w:rsidR="006068B9">
        <w:rPr>
          <w:rFonts w:ascii="Arial" w:hAnsi="Arial" w:cs="Arial"/>
          <w:sz w:val="24"/>
          <w:szCs w:val="24"/>
          <w:lang w:val="en-US"/>
        </w:rPr>
        <w:t>specifically with</w:t>
      </w:r>
      <w:r w:rsidR="000B01EF">
        <w:rPr>
          <w:rFonts w:ascii="Arial" w:hAnsi="Arial" w:cs="Arial"/>
          <w:sz w:val="24"/>
          <w:szCs w:val="24"/>
          <w:lang w:val="en-US"/>
        </w:rPr>
        <w:t xml:space="preserve"> the use of stairs</w:t>
      </w:r>
      <w:r w:rsidR="0056097E">
        <w:rPr>
          <w:rFonts w:ascii="Arial" w:hAnsi="Arial" w:cs="Arial"/>
          <w:sz w:val="24"/>
          <w:szCs w:val="24"/>
          <w:lang w:val="en-US"/>
        </w:rPr>
        <w:t xml:space="preserve"> </w:t>
      </w:r>
      <w:r w:rsidR="00937DE6">
        <w:rPr>
          <w:rFonts w:ascii="Arial" w:hAnsi="Arial" w:cs="Arial"/>
          <w:sz w:val="24"/>
          <w:szCs w:val="24"/>
          <w:lang w:val="en-US"/>
        </w:rPr>
        <w:t xml:space="preserve">as the most difficult activity </w:t>
      </w:r>
      <w:r w:rsidR="0056097E">
        <w:rPr>
          <w:rFonts w:ascii="Arial" w:hAnsi="Arial" w:cs="Arial"/>
          <w:sz w:val="24"/>
          <w:szCs w:val="24"/>
          <w:lang w:val="en-US"/>
        </w:rPr>
        <w:t>to be performed by these people. T</w:t>
      </w:r>
      <w:r w:rsidR="005F4484">
        <w:rPr>
          <w:rFonts w:ascii="Arial" w:hAnsi="Arial" w:cs="Arial"/>
          <w:sz w:val="24"/>
          <w:szCs w:val="24"/>
          <w:lang w:val="en-US"/>
        </w:rPr>
        <w:t xml:space="preserve">hese findings </w:t>
      </w:r>
      <w:r w:rsidR="0015678F">
        <w:rPr>
          <w:rFonts w:ascii="Arial" w:hAnsi="Arial" w:cs="Arial"/>
          <w:sz w:val="24"/>
          <w:szCs w:val="24"/>
          <w:lang w:val="en-US"/>
        </w:rPr>
        <w:t>coincide with the characteristics rep</w:t>
      </w:r>
      <w:r w:rsidR="00734578">
        <w:rPr>
          <w:rFonts w:ascii="Arial" w:hAnsi="Arial" w:cs="Arial"/>
          <w:sz w:val="24"/>
          <w:szCs w:val="24"/>
          <w:lang w:val="en-US"/>
        </w:rPr>
        <w:t>orted in different studies concerning</w:t>
      </w:r>
      <w:r w:rsidR="0015678F">
        <w:rPr>
          <w:rFonts w:ascii="Arial" w:hAnsi="Arial" w:cs="Arial"/>
          <w:sz w:val="24"/>
          <w:szCs w:val="24"/>
          <w:lang w:val="en-US"/>
        </w:rPr>
        <w:t xml:space="preserve"> people suffering </w:t>
      </w:r>
      <w:r w:rsidR="005F51B7">
        <w:rPr>
          <w:rFonts w:ascii="Arial" w:hAnsi="Arial" w:cs="Arial"/>
          <w:sz w:val="24"/>
          <w:szCs w:val="24"/>
          <w:lang w:val="en-US"/>
        </w:rPr>
        <w:t>COPD</w:t>
      </w:r>
      <w:r w:rsidR="009B2541" w:rsidRPr="009B2541">
        <w:rPr>
          <w:rFonts w:ascii="Arial" w:hAnsi="Arial" w:cs="Arial"/>
          <w:sz w:val="24"/>
          <w:szCs w:val="24"/>
          <w:vertAlign w:val="superscript"/>
          <w:lang w:val="en-US"/>
        </w:rPr>
        <w:t>(</w:t>
      </w:r>
      <w:r w:rsidR="005F51B7" w:rsidRPr="009B2541">
        <w:rPr>
          <w:rFonts w:ascii="Arial" w:hAnsi="Arial" w:cs="Arial"/>
          <w:sz w:val="24"/>
          <w:szCs w:val="24"/>
          <w:vertAlign w:val="superscript"/>
          <w:lang w:val="en-US"/>
        </w:rPr>
        <w:t>36</w:t>
      </w:r>
      <w:r w:rsidR="005F51B7" w:rsidRPr="005F51B7">
        <w:rPr>
          <w:rFonts w:ascii="Arial" w:hAnsi="Arial" w:cs="Arial"/>
          <w:sz w:val="24"/>
          <w:szCs w:val="24"/>
          <w:vertAlign w:val="superscript"/>
          <w:lang w:val="en-US"/>
        </w:rPr>
        <w:t>,37</w:t>
      </w:r>
      <w:r w:rsidR="009B2541">
        <w:rPr>
          <w:rFonts w:ascii="Arial" w:hAnsi="Arial" w:cs="Arial"/>
          <w:sz w:val="24"/>
          <w:szCs w:val="24"/>
          <w:vertAlign w:val="superscript"/>
          <w:lang w:val="en-US"/>
        </w:rPr>
        <w:t>)</w:t>
      </w:r>
      <w:bookmarkStart w:id="2" w:name="_GoBack"/>
      <w:bookmarkEnd w:id="2"/>
      <w:r w:rsidR="009C1CAB">
        <w:rPr>
          <w:rFonts w:ascii="Arial" w:hAnsi="Arial" w:cs="Arial"/>
          <w:sz w:val="24"/>
          <w:szCs w:val="24"/>
          <w:lang w:val="en-US"/>
        </w:rPr>
        <w:t xml:space="preserve">, </w:t>
      </w:r>
      <w:r w:rsidR="005F4484">
        <w:rPr>
          <w:rFonts w:ascii="Arial" w:hAnsi="Arial" w:cs="Arial"/>
          <w:sz w:val="24"/>
          <w:szCs w:val="24"/>
          <w:lang w:val="en-US"/>
        </w:rPr>
        <w:t>in which case, as the disease progress</w:t>
      </w:r>
      <w:r w:rsidR="009C1CAB">
        <w:rPr>
          <w:rFonts w:ascii="Arial" w:hAnsi="Arial" w:cs="Arial"/>
          <w:sz w:val="24"/>
          <w:szCs w:val="24"/>
          <w:lang w:val="en-US"/>
        </w:rPr>
        <w:t>es</w:t>
      </w:r>
      <w:r w:rsidR="005F4484">
        <w:rPr>
          <w:rFonts w:ascii="Arial" w:hAnsi="Arial" w:cs="Arial"/>
          <w:sz w:val="24"/>
          <w:szCs w:val="24"/>
          <w:lang w:val="en-US"/>
        </w:rPr>
        <w:t xml:space="preserve">, there is </w:t>
      </w:r>
      <w:r w:rsidR="00383E47">
        <w:rPr>
          <w:rFonts w:ascii="Arial" w:hAnsi="Arial" w:cs="Arial"/>
          <w:sz w:val="24"/>
          <w:szCs w:val="24"/>
          <w:lang w:val="en-US"/>
        </w:rPr>
        <w:t>a</w:t>
      </w:r>
      <w:r w:rsidR="005F4484">
        <w:rPr>
          <w:rFonts w:ascii="Arial" w:hAnsi="Arial" w:cs="Arial"/>
          <w:sz w:val="24"/>
          <w:szCs w:val="24"/>
          <w:lang w:val="en-US"/>
        </w:rPr>
        <w:t xml:space="preserve"> </w:t>
      </w:r>
      <w:r w:rsidR="009C1CAB">
        <w:rPr>
          <w:rFonts w:ascii="Arial" w:hAnsi="Arial" w:cs="Arial"/>
          <w:sz w:val="24"/>
          <w:szCs w:val="24"/>
          <w:lang w:val="en-US"/>
        </w:rPr>
        <w:t xml:space="preserve">significant </w:t>
      </w:r>
      <w:r w:rsidR="00383E47">
        <w:rPr>
          <w:rFonts w:ascii="Arial" w:hAnsi="Arial" w:cs="Arial"/>
          <w:sz w:val="24"/>
          <w:szCs w:val="24"/>
          <w:lang w:val="en-US"/>
        </w:rPr>
        <w:t xml:space="preserve">functional capacity loss, </w:t>
      </w:r>
      <w:r w:rsidR="005F4484">
        <w:rPr>
          <w:rFonts w:ascii="Arial" w:hAnsi="Arial" w:cs="Arial"/>
          <w:sz w:val="24"/>
          <w:szCs w:val="24"/>
          <w:lang w:val="en-US"/>
        </w:rPr>
        <w:t>which leads to avoid</w:t>
      </w:r>
      <w:r w:rsidR="006068B9">
        <w:rPr>
          <w:rFonts w:ascii="Arial" w:hAnsi="Arial" w:cs="Arial"/>
          <w:sz w:val="24"/>
          <w:szCs w:val="24"/>
          <w:lang w:val="en-US"/>
        </w:rPr>
        <w:t>ing</w:t>
      </w:r>
      <w:r w:rsidR="005F4484">
        <w:rPr>
          <w:rFonts w:ascii="Arial" w:hAnsi="Arial" w:cs="Arial"/>
          <w:sz w:val="24"/>
          <w:szCs w:val="24"/>
          <w:lang w:val="en-US"/>
        </w:rPr>
        <w:t xml:space="preserve"> conducts that generate </w:t>
      </w:r>
      <w:r w:rsidR="00383E47">
        <w:rPr>
          <w:rFonts w:ascii="Arial" w:hAnsi="Arial" w:cs="Arial"/>
          <w:sz w:val="24"/>
          <w:szCs w:val="24"/>
          <w:lang w:val="en-US"/>
        </w:rPr>
        <w:t>p</w:t>
      </w:r>
      <w:r w:rsidR="006068B9">
        <w:rPr>
          <w:rFonts w:ascii="Arial" w:hAnsi="Arial" w:cs="Arial"/>
          <w:sz w:val="24"/>
          <w:szCs w:val="24"/>
          <w:lang w:val="en-US"/>
        </w:rPr>
        <w:t>hysical effort, which constrain</w:t>
      </w:r>
      <w:r w:rsidR="00383E47">
        <w:rPr>
          <w:rFonts w:ascii="Arial" w:hAnsi="Arial" w:cs="Arial"/>
          <w:sz w:val="24"/>
          <w:szCs w:val="24"/>
          <w:lang w:val="en-US"/>
        </w:rPr>
        <w:t xml:space="preserve">s them to perform only the basic activities of their daily life. </w:t>
      </w:r>
      <w:r w:rsidR="009E4FAB">
        <w:rPr>
          <w:rFonts w:ascii="Arial" w:hAnsi="Arial" w:cs="Arial"/>
          <w:sz w:val="24"/>
          <w:szCs w:val="24"/>
          <w:lang w:val="en-US"/>
        </w:rPr>
        <w:t>In this regard, it can be assumed</w:t>
      </w:r>
      <w:r w:rsidR="008B7243">
        <w:rPr>
          <w:rFonts w:ascii="Arial" w:hAnsi="Arial" w:cs="Arial"/>
          <w:sz w:val="24"/>
          <w:szCs w:val="24"/>
          <w:lang w:val="en-US"/>
        </w:rPr>
        <w:t xml:space="preserve"> that the functional capacity loss in pe</w:t>
      </w:r>
      <w:r w:rsidR="009E4FAB">
        <w:rPr>
          <w:rFonts w:ascii="Arial" w:hAnsi="Arial" w:cs="Arial"/>
          <w:sz w:val="24"/>
          <w:szCs w:val="24"/>
          <w:lang w:val="en-US"/>
        </w:rPr>
        <w:t>ople suffering COPD generates in patients the need to cease behaviors that impede</w:t>
      </w:r>
      <w:r w:rsidR="002B05CC">
        <w:rPr>
          <w:rFonts w:ascii="Arial" w:hAnsi="Arial" w:cs="Arial"/>
          <w:sz w:val="24"/>
          <w:szCs w:val="24"/>
          <w:lang w:val="en-US"/>
        </w:rPr>
        <w:t xml:space="preserve"> them from maintaining</w:t>
      </w:r>
      <w:r w:rsidR="009E4FAB">
        <w:rPr>
          <w:rFonts w:ascii="Arial" w:hAnsi="Arial" w:cs="Arial"/>
          <w:sz w:val="24"/>
          <w:szCs w:val="24"/>
          <w:lang w:val="en-US"/>
        </w:rPr>
        <w:t xml:space="preserve"> their </w:t>
      </w:r>
      <w:r w:rsidR="002B05CC">
        <w:rPr>
          <w:rFonts w:ascii="Arial" w:hAnsi="Arial" w:cs="Arial"/>
          <w:sz w:val="24"/>
          <w:szCs w:val="24"/>
          <w:lang w:val="en-US"/>
        </w:rPr>
        <w:t xml:space="preserve">good </w:t>
      </w:r>
      <w:r w:rsidR="009E4FAB">
        <w:rPr>
          <w:rFonts w:ascii="Arial" w:hAnsi="Arial" w:cs="Arial"/>
          <w:sz w:val="24"/>
          <w:szCs w:val="24"/>
          <w:lang w:val="en-US"/>
        </w:rPr>
        <w:t xml:space="preserve">health </w:t>
      </w:r>
      <w:r w:rsidR="002B05CC">
        <w:rPr>
          <w:rFonts w:ascii="Arial" w:hAnsi="Arial" w:cs="Arial"/>
          <w:sz w:val="24"/>
          <w:szCs w:val="24"/>
          <w:lang w:val="en-US"/>
        </w:rPr>
        <w:t xml:space="preserve">condition </w:t>
      </w:r>
      <w:r w:rsidR="009E4FAB">
        <w:rPr>
          <w:rFonts w:ascii="Arial" w:hAnsi="Arial" w:cs="Arial"/>
          <w:sz w:val="24"/>
          <w:szCs w:val="24"/>
          <w:lang w:val="en-US"/>
        </w:rPr>
        <w:t>as in the case of physical activity.</w:t>
      </w:r>
    </w:p>
    <w:p w:rsidR="009D3CED" w:rsidRDefault="009D3CED" w:rsidP="00FF0340">
      <w:pPr>
        <w:jc w:val="both"/>
        <w:rPr>
          <w:rFonts w:ascii="Arial" w:hAnsi="Arial" w:cs="Arial"/>
          <w:b/>
          <w:sz w:val="24"/>
          <w:szCs w:val="24"/>
          <w:lang w:val="en-US"/>
        </w:rPr>
      </w:pPr>
    </w:p>
    <w:p w:rsidR="00D822B3" w:rsidRPr="002B05CC" w:rsidRDefault="002B05CC" w:rsidP="00FF0340">
      <w:pPr>
        <w:jc w:val="both"/>
        <w:rPr>
          <w:rFonts w:ascii="Arial" w:hAnsi="Arial" w:cs="Arial"/>
          <w:b/>
          <w:sz w:val="24"/>
          <w:szCs w:val="24"/>
          <w:lang w:val="en-US"/>
        </w:rPr>
      </w:pPr>
      <w:r w:rsidRPr="002B05CC">
        <w:rPr>
          <w:rFonts w:ascii="Arial" w:hAnsi="Arial" w:cs="Arial"/>
          <w:b/>
          <w:sz w:val="24"/>
          <w:szCs w:val="24"/>
          <w:lang w:val="en-US"/>
        </w:rPr>
        <w:t>CONCLUSION</w:t>
      </w:r>
    </w:p>
    <w:p w:rsidR="002B05CC" w:rsidRDefault="00C836D5" w:rsidP="00FF0340">
      <w:pPr>
        <w:jc w:val="both"/>
        <w:rPr>
          <w:rFonts w:ascii="Arial" w:hAnsi="Arial" w:cs="Arial"/>
          <w:sz w:val="24"/>
          <w:szCs w:val="24"/>
          <w:lang w:val="en-US"/>
        </w:rPr>
      </w:pPr>
      <w:r>
        <w:rPr>
          <w:rFonts w:ascii="Arial" w:hAnsi="Arial" w:cs="Arial"/>
          <w:sz w:val="24"/>
          <w:szCs w:val="24"/>
          <w:lang w:val="en-US"/>
        </w:rPr>
        <w:t xml:space="preserve">The population found </w:t>
      </w:r>
      <w:r w:rsidR="007156CD">
        <w:rPr>
          <w:rFonts w:ascii="Arial" w:hAnsi="Arial" w:cs="Arial"/>
          <w:sz w:val="24"/>
          <w:szCs w:val="24"/>
          <w:lang w:val="en-US"/>
        </w:rPr>
        <w:t>with a</w:t>
      </w:r>
      <w:r>
        <w:rPr>
          <w:rFonts w:ascii="Arial" w:hAnsi="Arial" w:cs="Arial"/>
          <w:sz w:val="24"/>
          <w:szCs w:val="24"/>
          <w:lang w:val="en-US"/>
        </w:rPr>
        <w:t xml:space="preserve"> </w:t>
      </w:r>
      <w:r w:rsidR="007156CD">
        <w:rPr>
          <w:rFonts w:ascii="Arial" w:hAnsi="Arial" w:cs="Arial"/>
          <w:sz w:val="24"/>
          <w:szCs w:val="24"/>
          <w:lang w:val="en-US"/>
        </w:rPr>
        <w:t>COPD clinical diagnostic</w:t>
      </w:r>
      <w:r>
        <w:rPr>
          <w:rFonts w:ascii="Arial" w:hAnsi="Arial" w:cs="Arial"/>
          <w:sz w:val="24"/>
          <w:szCs w:val="24"/>
          <w:lang w:val="en-US"/>
        </w:rPr>
        <w:t>,</w:t>
      </w:r>
      <w:r w:rsidR="00F81419">
        <w:rPr>
          <w:rFonts w:ascii="Arial" w:hAnsi="Arial" w:cs="Arial"/>
          <w:sz w:val="24"/>
          <w:szCs w:val="24"/>
          <w:lang w:val="en-US"/>
        </w:rPr>
        <w:t xml:space="preserve"> </w:t>
      </w:r>
      <w:r w:rsidR="00327AD9">
        <w:rPr>
          <w:rFonts w:ascii="Arial" w:hAnsi="Arial" w:cs="Arial"/>
          <w:sz w:val="24"/>
          <w:szCs w:val="24"/>
          <w:lang w:val="en-US"/>
        </w:rPr>
        <w:t xml:space="preserve">considering the exposure factors that develop this condition, </w:t>
      </w:r>
      <w:r w:rsidR="00F81419">
        <w:rPr>
          <w:rFonts w:ascii="Arial" w:hAnsi="Arial" w:cs="Arial"/>
          <w:sz w:val="24"/>
          <w:szCs w:val="24"/>
          <w:lang w:val="en-US"/>
        </w:rPr>
        <w:t xml:space="preserve">has the need to </w:t>
      </w:r>
      <w:r w:rsidR="00327AD9">
        <w:rPr>
          <w:rFonts w:ascii="Arial" w:hAnsi="Arial" w:cs="Arial"/>
          <w:sz w:val="24"/>
          <w:szCs w:val="24"/>
          <w:lang w:val="en-US"/>
        </w:rPr>
        <w:t>confirm</w:t>
      </w:r>
      <w:r>
        <w:rPr>
          <w:rFonts w:ascii="Arial" w:hAnsi="Arial" w:cs="Arial"/>
          <w:sz w:val="24"/>
          <w:szCs w:val="24"/>
          <w:lang w:val="en-US"/>
        </w:rPr>
        <w:t xml:space="preserve"> </w:t>
      </w:r>
      <w:r w:rsidR="00F81419">
        <w:rPr>
          <w:rFonts w:ascii="Arial" w:hAnsi="Arial" w:cs="Arial"/>
          <w:sz w:val="24"/>
          <w:szCs w:val="24"/>
          <w:lang w:val="en-US"/>
        </w:rPr>
        <w:t xml:space="preserve">this disease by </w:t>
      </w:r>
      <w:r w:rsidR="00327AD9">
        <w:rPr>
          <w:rFonts w:ascii="Arial" w:hAnsi="Arial" w:cs="Arial"/>
          <w:sz w:val="24"/>
          <w:szCs w:val="24"/>
          <w:lang w:val="en-US"/>
        </w:rPr>
        <w:t>taking</w:t>
      </w:r>
      <w:r w:rsidR="00F81419">
        <w:rPr>
          <w:rFonts w:ascii="Arial" w:hAnsi="Arial" w:cs="Arial"/>
          <w:sz w:val="24"/>
          <w:szCs w:val="24"/>
          <w:lang w:val="en-US"/>
        </w:rPr>
        <w:t xml:space="preserve"> a </w:t>
      </w:r>
      <w:r w:rsidR="00327AD9">
        <w:rPr>
          <w:rFonts w:ascii="Arial" w:hAnsi="Arial" w:cs="Arial"/>
          <w:sz w:val="24"/>
          <w:szCs w:val="24"/>
          <w:lang w:val="en-US"/>
        </w:rPr>
        <w:t xml:space="preserve">spirometry test. </w:t>
      </w:r>
      <w:r w:rsidR="002A57A7">
        <w:rPr>
          <w:rFonts w:ascii="Arial" w:hAnsi="Arial" w:cs="Arial"/>
          <w:sz w:val="24"/>
          <w:szCs w:val="24"/>
          <w:lang w:val="en-US"/>
        </w:rPr>
        <w:t xml:space="preserve">Regarding the variables analyzed, it can be inferred that there is a prevalence of unhealthy behaviors </w:t>
      </w:r>
      <w:r w:rsidR="009D3CED">
        <w:rPr>
          <w:rFonts w:ascii="Arial" w:hAnsi="Arial" w:cs="Arial"/>
          <w:sz w:val="24"/>
          <w:szCs w:val="24"/>
          <w:lang w:val="en-US"/>
        </w:rPr>
        <w:t xml:space="preserve">in a population, which </w:t>
      </w:r>
      <w:r w:rsidR="002A57A7">
        <w:rPr>
          <w:rFonts w:ascii="Arial" w:hAnsi="Arial" w:cs="Arial"/>
          <w:sz w:val="24"/>
          <w:szCs w:val="24"/>
          <w:lang w:val="en-US"/>
        </w:rPr>
        <w:t xml:space="preserve">still </w:t>
      </w:r>
      <w:r w:rsidR="009D3CED">
        <w:rPr>
          <w:rFonts w:ascii="Arial" w:hAnsi="Arial" w:cs="Arial"/>
          <w:sz w:val="24"/>
          <w:szCs w:val="24"/>
          <w:lang w:val="en-US"/>
        </w:rPr>
        <w:t>shows a good level of physical independence despite their clinical condition. For this reason, the analysis of other factors that predict the health–promoting behaviors becomes an essential action.</w:t>
      </w:r>
    </w:p>
    <w:p w:rsidR="000324C0" w:rsidRDefault="000324C0" w:rsidP="00FF0340">
      <w:pPr>
        <w:jc w:val="both"/>
        <w:rPr>
          <w:rFonts w:ascii="Arial" w:hAnsi="Arial" w:cs="Arial"/>
          <w:b/>
          <w:sz w:val="24"/>
          <w:szCs w:val="24"/>
          <w:lang w:val="en-US"/>
        </w:rPr>
      </w:pPr>
    </w:p>
    <w:p w:rsidR="00D822B3" w:rsidRPr="009D3CED" w:rsidRDefault="009D3CED" w:rsidP="00FF0340">
      <w:pPr>
        <w:jc w:val="both"/>
        <w:rPr>
          <w:rFonts w:ascii="Arial" w:hAnsi="Arial" w:cs="Arial"/>
          <w:b/>
          <w:sz w:val="24"/>
          <w:szCs w:val="24"/>
          <w:lang w:val="en-US"/>
        </w:rPr>
      </w:pPr>
      <w:r w:rsidRPr="009D3CED">
        <w:rPr>
          <w:rFonts w:ascii="Arial" w:hAnsi="Arial" w:cs="Arial"/>
          <w:b/>
          <w:sz w:val="24"/>
          <w:szCs w:val="24"/>
          <w:lang w:val="en-US"/>
        </w:rPr>
        <w:t>REFERENCES</w:t>
      </w:r>
    </w:p>
    <w:p w:rsidR="00FF0340" w:rsidRPr="007E0E52" w:rsidRDefault="00FF0340" w:rsidP="00FF0340">
      <w:pPr>
        <w:pStyle w:val="Prrafodelista"/>
        <w:numPr>
          <w:ilvl w:val="0"/>
          <w:numId w:val="7"/>
        </w:numPr>
        <w:spacing w:after="0" w:line="240" w:lineRule="auto"/>
        <w:jc w:val="both"/>
        <w:rPr>
          <w:rFonts w:ascii="Arial" w:hAnsi="Arial" w:cs="Arial"/>
          <w:sz w:val="24"/>
          <w:szCs w:val="24"/>
          <w:lang w:val="en-US"/>
        </w:rPr>
      </w:pPr>
      <w:r w:rsidRPr="006450D0">
        <w:rPr>
          <w:rFonts w:ascii="Arial" w:hAnsi="Arial" w:cs="Arial"/>
          <w:sz w:val="24"/>
          <w:szCs w:val="24"/>
          <w:lang w:val="en-US"/>
        </w:rPr>
        <w:t>Vestbo J, Lange P. Natural history of COPD: Focusing on change in FEV. Respirology 2016; 21, 34–43.</w:t>
      </w:r>
    </w:p>
    <w:p w:rsidR="00FF0340" w:rsidRPr="007E0E52" w:rsidRDefault="00FF0340" w:rsidP="00FF0340">
      <w:pPr>
        <w:pStyle w:val="Prrafodelista"/>
        <w:numPr>
          <w:ilvl w:val="0"/>
          <w:numId w:val="7"/>
        </w:numPr>
        <w:spacing w:after="0" w:line="240" w:lineRule="auto"/>
        <w:jc w:val="both"/>
        <w:rPr>
          <w:rFonts w:ascii="Arial" w:hAnsi="Arial" w:cs="Arial"/>
          <w:sz w:val="24"/>
          <w:szCs w:val="24"/>
          <w:lang w:val="en-US"/>
        </w:rPr>
      </w:pPr>
      <w:r w:rsidRPr="006450D0">
        <w:rPr>
          <w:rFonts w:ascii="Arial" w:hAnsi="Arial" w:cs="Arial"/>
          <w:color w:val="000000"/>
          <w:sz w:val="24"/>
          <w:szCs w:val="24"/>
          <w:lang w:val="en-US"/>
        </w:rPr>
        <w:t>Lopez M, Mongilardi N, Checkley W. Chronic obstructive pulmonary disease by biomass smoke exposure.</w:t>
      </w:r>
      <w:r w:rsidRPr="006450D0">
        <w:rPr>
          <w:rStyle w:val="apple-converted-space"/>
          <w:rFonts w:ascii="Arial" w:hAnsi="Arial" w:cs="Arial"/>
          <w:bCs/>
          <w:color w:val="000000"/>
          <w:sz w:val="24"/>
          <w:szCs w:val="24"/>
          <w:lang w:val="en-US"/>
        </w:rPr>
        <w:t> </w:t>
      </w:r>
      <w:r w:rsidRPr="006450D0">
        <w:rPr>
          <w:rFonts w:ascii="Arial" w:hAnsi="Arial" w:cs="Arial"/>
          <w:bCs/>
          <w:color w:val="000000"/>
          <w:sz w:val="24"/>
          <w:szCs w:val="24"/>
          <w:lang w:val="en-US"/>
        </w:rPr>
        <w:t>Rev. perú. med. exp. salud pública</w:t>
      </w:r>
      <w:r w:rsidRPr="006450D0">
        <w:rPr>
          <w:rFonts w:ascii="Arial" w:hAnsi="Arial" w:cs="Arial"/>
          <w:color w:val="000000"/>
          <w:sz w:val="24"/>
          <w:szCs w:val="24"/>
          <w:lang w:val="en-US"/>
        </w:rPr>
        <w:t>, Lima. 2014; 31 (1): 94-99.</w:t>
      </w:r>
    </w:p>
    <w:p w:rsidR="00FF0340" w:rsidRPr="007E0E52" w:rsidRDefault="00FF0340" w:rsidP="00FF0340">
      <w:pPr>
        <w:pStyle w:val="Prrafodelista"/>
        <w:numPr>
          <w:ilvl w:val="0"/>
          <w:numId w:val="7"/>
        </w:numPr>
        <w:spacing w:after="0" w:line="240" w:lineRule="auto"/>
        <w:jc w:val="both"/>
        <w:rPr>
          <w:rFonts w:ascii="Arial" w:hAnsi="Arial" w:cs="Arial"/>
          <w:sz w:val="24"/>
          <w:szCs w:val="24"/>
        </w:rPr>
      </w:pPr>
      <w:r w:rsidRPr="006450D0">
        <w:rPr>
          <w:rFonts w:ascii="Arial" w:hAnsi="Arial" w:cs="Arial"/>
          <w:sz w:val="24"/>
          <w:szCs w:val="24"/>
        </w:rPr>
        <w:t xml:space="preserve">Silva R. Oyarzún M, Olloquequi J. </w:t>
      </w:r>
      <w:r w:rsidRPr="006450D0">
        <w:rPr>
          <w:rFonts w:ascii="Arial" w:eastAsia="GulliverRM" w:hAnsi="Arial" w:cs="Arial"/>
          <w:sz w:val="24"/>
          <w:szCs w:val="24"/>
        </w:rPr>
        <w:t xml:space="preserve">Mecanismos patogénicos en la enfermedad pulmonar obstructiva crónica causada por exposición a humo de biomasa. Arch Bronconeumol. 2015; </w:t>
      </w:r>
      <w:r w:rsidRPr="006450D0">
        <w:rPr>
          <w:rFonts w:ascii="Arial" w:eastAsia="GulliverRM" w:hAnsi="Arial" w:cs="Arial"/>
          <w:bCs/>
          <w:sz w:val="24"/>
          <w:szCs w:val="24"/>
        </w:rPr>
        <w:t>51(6)</w:t>
      </w:r>
      <w:r w:rsidRPr="006450D0">
        <w:rPr>
          <w:rFonts w:ascii="Arial" w:eastAsia="GulliverRM" w:hAnsi="Arial" w:cs="Arial"/>
          <w:sz w:val="24"/>
          <w:szCs w:val="24"/>
        </w:rPr>
        <w:t>:285–292.</w:t>
      </w:r>
    </w:p>
    <w:p w:rsidR="00FF0340" w:rsidRPr="007E0E52" w:rsidRDefault="00FF0340" w:rsidP="00FF0340">
      <w:pPr>
        <w:pStyle w:val="Prrafodelista"/>
        <w:numPr>
          <w:ilvl w:val="0"/>
          <w:numId w:val="7"/>
        </w:numPr>
        <w:spacing w:after="0" w:line="240" w:lineRule="auto"/>
        <w:jc w:val="both"/>
        <w:rPr>
          <w:rFonts w:ascii="Arial" w:hAnsi="Arial" w:cs="Arial"/>
          <w:sz w:val="24"/>
          <w:szCs w:val="24"/>
        </w:rPr>
      </w:pPr>
      <w:r w:rsidRPr="006450D0">
        <w:rPr>
          <w:rFonts w:ascii="Arial" w:hAnsi="Arial" w:cs="Arial"/>
          <w:sz w:val="24"/>
          <w:szCs w:val="24"/>
        </w:rPr>
        <w:t xml:space="preserve">Iniciativa global para la enfermedad pulmonar obstructiva crónica. Guía de bolsillo para el diagnóstico, manejo y prevención de la EPOC. </w:t>
      </w:r>
      <w:r w:rsidRPr="00FF0340">
        <w:rPr>
          <w:rFonts w:ascii="Arial" w:hAnsi="Arial" w:cs="Arial"/>
          <w:sz w:val="24"/>
          <w:szCs w:val="24"/>
        </w:rPr>
        <w:t xml:space="preserve">[Internet]. 2014. </w:t>
      </w:r>
      <w:r w:rsidRPr="006450D0">
        <w:rPr>
          <w:rFonts w:ascii="Arial" w:hAnsi="Arial" w:cs="Arial"/>
          <w:sz w:val="24"/>
          <w:szCs w:val="24"/>
        </w:rPr>
        <w:t>[Citado 10 agosto 2016]; p. 5-6. Disponible en: http://goldcopd.org/wp-content/uploads/dlm_uploads/2016/04/GOLD_Pocket_Spanish.pdf</w:t>
      </w:r>
    </w:p>
    <w:p w:rsidR="00FF0340" w:rsidRPr="007E0E52" w:rsidRDefault="00FF0340" w:rsidP="00FF0340">
      <w:pPr>
        <w:pStyle w:val="Prrafodelista"/>
        <w:numPr>
          <w:ilvl w:val="0"/>
          <w:numId w:val="7"/>
        </w:numPr>
        <w:spacing w:after="0" w:line="240" w:lineRule="auto"/>
        <w:jc w:val="both"/>
        <w:rPr>
          <w:rFonts w:ascii="Arial" w:hAnsi="Arial" w:cs="Arial"/>
          <w:sz w:val="24"/>
          <w:szCs w:val="24"/>
          <w:lang w:val="en-US"/>
        </w:rPr>
      </w:pPr>
      <w:r w:rsidRPr="006450D0">
        <w:rPr>
          <w:rFonts w:ascii="Arial" w:hAnsi="Arial" w:cs="Arial"/>
          <w:sz w:val="24"/>
          <w:szCs w:val="24"/>
          <w:lang w:val="en-US"/>
        </w:rPr>
        <w:t xml:space="preserve">Donaldson AV, Maddocks M, Martolini D, Polkey MI, D-C Man W. Muscle function in COPD: a complex interplay. </w:t>
      </w:r>
      <w:r w:rsidRPr="00622AC5">
        <w:rPr>
          <w:rFonts w:ascii="Arial" w:hAnsi="Arial" w:cs="Arial"/>
          <w:sz w:val="24"/>
          <w:szCs w:val="24"/>
          <w:shd w:val="clear" w:color="auto" w:fill="FFFFFF"/>
          <w:lang w:val="en-US"/>
        </w:rPr>
        <w:t>Int J Chron obstruyen Pulmon Dis.</w:t>
      </w:r>
      <w:r w:rsidRPr="006450D0">
        <w:rPr>
          <w:rStyle w:val="apple-converted-space"/>
          <w:rFonts w:ascii="Arial" w:hAnsi="Arial" w:cs="Arial"/>
          <w:sz w:val="24"/>
          <w:szCs w:val="24"/>
          <w:shd w:val="clear" w:color="auto" w:fill="FFFFFF"/>
          <w:lang w:val="en-US"/>
        </w:rPr>
        <w:t> </w:t>
      </w:r>
      <w:r w:rsidRPr="006450D0">
        <w:rPr>
          <w:rFonts w:ascii="Arial" w:hAnsi="Arial" w:cs="Arial"/>
          <w:sz w:val="24"/>
          <w:szCs w:val="24"/>
          <w:shd w:val="clear" w:color="auto" w:fill="FFFFFF"/>
          <w:lang w:val="en-US"/>
        </w:rPr>
        <w:t>2012; 7: 523-535.</w:t>
      </w:r>
    </w:p>
    <w:p w:rsidR="00FF0340" w:rsidRPr="007E0E52" w:rsidRDefault="00FF0340" w:rsidP="00FF0340">
      <w:pPr>
        <w:pStyle w:val="Prrafodelista"/>
        <w:numPr>
          <w:ilvl w:val="0"/>
          <w:numId w:val="7"/>
        </w:numPr>
        <w:spacing w:after="0" w:line="240" w:lineRule="auto"/>
        <w:jc w:val="both"/>
        <w:rPr>
          <w:rFonts w:ascii="Arial" w:hAnsi="Arial" w:cs="Arial"/>
          <w:sz w:val="24"/>
          <w:szCs w:val="24"/>
          <w:lang w:val="en-US"/>
        </w:rPr>
      </w:pPr>
      <w:r w:rsidRPr="006450D0">
        <w:rPr>
          <w:rFonts w:ascii="Arial" w:hAnsi="Arial" w:cs="Arial"/>
          <w:sz w:val="24"/>
          <w:szCs w:val="24"/>
          <w:lang w:val="en-US"/>
        </w:rPr>
        <w:t xml:space="preserve">Cielen N, Maes K, Gayan-Ramirez G. Musculoskeletal Disorders in Chronic Obstructive Pulmonary Disease. </w:t>
      </w:r>
      <w:r w:rsidRPr="00622AC5">
        <w:rPr>
          <w:rFonts w:ascii="Arial" w:hAnsi="Arial" w:cs="Arial"/>
          <w:sz w:val="24"/>
          <w:szCs w:val="24"/>
          <w:lang w:val="en-US"/>
        </w:rPr>
        <w:t>Biomed Res Int.</w:t>
      </w:r>
      <w:r w:rsidRPr="006450D0">
        <w:rPr>
          <w:rStyle w:val="apple-converted-space"/>
          <w:rFonts w:ascii="Arial" w:hAnsi="Arial" w:cs="Arial"/>
          <w:sz w:val="24"/>
          <w:szCs w:val="24"/>
          <w:lang w:val="en-US"/>
        </w:rPr>
        <w:t> </w:t>
      </w:r>
      <w:r w:rsidRPr="006450D0">
        <w:rPr>
          <w:rFonts w:ascii="Arial" w:hAnsi="Arial" w:cs="Arial"/>
          <w:sz w:val="24"/>
          <w:szCs w:val="24"/>
          <w:lang w:val="en-US"/>
        </w:rPr>
        <w:t xml:space="preserve">2014; 2014: 965.764. </w:t>
      </w:r>
    </w:p>
    <w:p w:rsidR="00FF0340" w:rsidRPr="007E0E52" w:rsidRDefault="00FF0340" w:rsidP="00FF0340">
      <w:pPr>
        <w:pStyle w:val="Prrafodelista"/>
        <w:numPr>
          <w:ilvl w:val="0"/>
          <w:numId w:val="7"/>
        </w:numPr>
        <w:spacing w:after="0" w:line="240" w:lineRule="auto"/>
        <w:jc w:val="both"/>
        <w:rPr>
          <w:rFonts w:ascii="Arial" w:hAnsi="Arial" w:cs="Arial"/>
          <w:sz w:val="24"/>
          <w:szCs w:val="24"/>
        </w:rPr>
      </w:pPr>
      <w:r w:rsidRPr="006450D0">
        <w:rPr>
          <w:rFonts w:ascii="Arial" w:hAnsi="Arial" w:cs="Arial"/>
          <w:sz w:val="24"/>
          <w:szCs w:val="24"/>
        </w:rPr>
        <w:t>Almagro P, Rodríguez-Carballeira M, Chang KT, Romaní V, Estrada C, Barreiro B, et alt. Hospitalizaciones por EPOC en el paciente anciano. Rev Esp Geriatr Gerontol. 2009; 44 (2):73–78.</w:t>
      </w:r>
    </w:p>
    <w:p w:rsidR="00FF0340" w:rsidRPr="007E0E52" w:rsidRDefault="00FF0340" w:rsidP="00FF0340">
      <w:pPr>
        <w:pStyle w:val="Prrafodelista"/>
        <w:numPr>
          <w:ilvl w:val="0"/>
          <w:numId w:val="7"/>
        </w:numPr>
        <w:spacing w:after="0" w:line="240" w:lineRule="auto"/>
        <w:jc w:val="both"/>
        <w:rPr>
          <w:rFonts w:ascii="Arial" w:hAnsi="Arial" w:cs="Arial"/>
          <w:sz w:val="24"/>
          <w:szCs w:val="24"/>
        </w:rPr>
      </w:pPr>
      <w:r w:rsidRPr="006450D0">
        <w:rPr>
          <w:rFonts w:ascii="Arial" w:hAnsi="Arial" w:cs="Arial"/>
          <w:sz w:val="24"/>
          <w:szCs w:val="24"/>
        </w:rPr>
        <w:t>Medinas-Amorós MM, Más Tous C, Renom-Sotorra F. Estrés en ancianos hospitalizados con enfermedad respiratoria crónica: valoración en el hospital sociosanitario. Rev Esp Geriatr Gerontol. 2009; 44 (3): 130–136.</w:t>
      </w:r>
    </w:p>
    <w:p w:rsidR="00FF0340" w:rsidRPr="001C24E2" w:rsidRDefault="009B2541" w:rsidP="00FF0340">
      <w:pPr>
        <w:pStyle w:val="Prrafodelista"/>
        <w:numPr>
          <w:ilvl w:val="0"/>
          <w:numId w:val="7"/>
        </w:numPr>
        <w:spacing w:after="0" w:line="240" w:lineRule="auto"/>
        <w:jc w:val="both"/>
        <w:rPr>
          <w:rFonts w:ascii="Arial" w:hAnsi="Arial" w:cs="Arial"/>
          <w:sz w:val="24"/>
          <w:szCs w:val="24"/>
          <w:lang w:val="en-US"/>
        </w:rPr>
      </w:pPr>
      <w:hyperlink r:id="rId7" w:history="1">
        <w:r w:rsidR="00FF0340" w:rsidRPr="00622AC5">
          <w:rPr>
            <w:rStyle w:val="Hipervnculo"/>
            <w:rFonts w:ascii="Arial" w:hAnsi="Arial" w:cs="Arial"/>
            <w:color w:val="auto"/>
            <w:sz w:val="24"/>
            <w:szCs w:val="24"/>
            <w:u w:val="none"/>
            <w:shd w:val="clear" w:color="auto" w:fill="FFFFFF"/>
            <w:lang w:val="en-US"/>
          </w:rPr>
          <w:t>Hornikx M</w:t>
        </w:r>
      </w:hyperlink>
      <w:r w:rsidR="00FF0340" w:rsidRPr="00622AC5">
        <w:rPr>
          <w:rFonts w:ascii="Arial" w:hAnsi="Arial" w:cs="Arial"/>
          <w:sz w:val="24"/>
          <w:szCs w:val="24"/>
          <w:shd w:val="clear" w:color="auto" w:fill="FFFFFF"/>
          <w:lang w:val="en-US"/>
        </w:rPr>
        <w:t>,</w:t>
      </w:r>
      <w:r w:rsidR="00FF0340" w:rsidRPr="00622AC5">
        <w:rPr>
          <w:rStyle w:val="apple-converted-space"/>
          <w:rFonts w:ascii="Arial" w:hAnsi="Arial" w:cs="Arial"/>
          <w:sz w:val="24"/>
          <w:szCs w:val="24"/>
          <w:shd w:val="clear" w:color="auto" w:fill="FFFFFF"/>
          <w:lang w:val="en-US"/>
        </w:rPr>
        <w:t> </w:t>
      </w:r>
      <w:hyperlink r:id="rId8" w:history="1">
        <w:r w:rsidR="00FF0340" w:rsidRPr="00622AC5">
          <w:rPr>
            <w:rStyle w:val="Hipervnculo"/>
            <w:rFonts w:ascii="Arial" w:hAnsi="Arial" w:cs="Arial"/>
            <w:color w:val="auto"/>
            <w:sz w:val="24"/>
            <w:szCs w:val="24"/>
            <w:u w:val="none"/>
            <w:shd w:val="clear" w:color="auto" w:fill="FFFFFF"/>
            <w:lang w:val="en-US"/>
          </w:rPr>
          <w:t>Demeyer H</w:t>
        </w:r>
      </w:hyperlink>
      <w:r w:rsidR="00FF0340" w:rsidRPr="00622AC5">
        <w:rPr>
          <w:rFonts w:ascii="Arial" w:hAnsi="Arial" w:cs="Arial"/>
          <w:sz w:val="24"/>
          <w:szCs w:val="24"/>
          <w:shd w:val="clear" w:color="auto" w:fill="FFFFFF"/>
          <w:lang w:val="en-US"/>
        </w:rPr>
        <w:t>,</w:t>
      </w:r>
      <w:r w:rsidR="00FF0340" w:rsidRPr="00622AC5">
        <w:rPr>
          <w:rStyle w:val="apple-converted-space"/>
          <w:rFonts w:ascii="Arial" w:hAnsi="Arial" w:cs="Arial"/>
          <w:sz w:val="24"/>
          <w:szCs w:val="24"/>
          <w:shd w:val="clear" w:color="auto" w:fill="FFFFFF"/>
          <w:lang w:val="en-US"/>
        </w:rPr>
        <w:t> </w:t>
      </w:r>
      <w:hyperlink r:id="rId9" w:history="1">
        <w:r w:rsidR="00FF0340" w:rsidRPr="00622AC5">
          <w:rPr>
            <w:rStyle w:val="Hipervnculo"/>
            <w:rFonts w:ascii="Arial" w:hAnsi="Arial" w:cs="Arial"/>
            <w:color w:val="auto"/>
            <w:sz w:val="24"/>
            <w:szCs w:val="24"/>
            <w:u w:val="none"/>
            <w:shd w:val="clear" w:color="auto" w:fill="FFFFFF"/>
            <w:lang w:val="en-US"/>
          </w:rPr>
          <w:t>Camillo CA</w:t>
        </w:r>
      </w:hyperlink>
      <w:r w:rsidR="00FF0340" w:rsidRPr="00622AC5">
        <w:rPr>
          <w:rFonts w:ascii="Arial" w:hAnsi="Arial" w:cs="Arial"/>
          <w:sz w:val="24"/>
          <w:szCs w:val="24"/>
          <w:shd w:val="clear" w:color="auto" w:fill="FFFFFF"/>
          <w:lang w:val="en-US"/>
        </w:rPr>
        <w:t>,</w:t>
      </w:r>
      <w:r w:rsidR="00FF0340" w:rsidRPr="00622AC5">
        <w:rPr>
          <w:rStyle w:val="apple-converted-space"/>
          <w:rFonts w:ascii="Arial" w:hAnsi="Arial" w:cs="Arial"/>
          <w:sz w:val="24"/>
          <w:szCs w:val="24"/>
          <w:shd w:val="clear" w:color="auto" w:fill="FFFFFF"/>
          <w:lang w:val="en-US"/>
        </w:rPr>
        <w:t> </w:t>
      </w:r>
      <w:hyperlink r:id="rId10" w:history="1">
        <w:r w:rsidR="00FF0340" w:rsidRPr="00622AC5">
          <w:rPr>
            <w:rStyle w:val="Hipervnculo"/>
            <w:rFonts w:ascii="Arial" w:hAnsi="Arial" w:cs="Arial"/>
            <w:color w:val="auto"/>
            <w:sz w:val="24"/>
            <w:szCs w:val="24"/>
            <w:u w:val="none"/>
            <w:shd w:val="clear" w:color="auto" w:fill="FFFFFF"/>
            <w:lang w:val="en-US"/>
          </w:rPr>
          <w:t>Janssens W</w:t>
        </w:r>
      </w:hyperlink>
      <w:r w:rsidR="00FF0340" w:rsidRPr="00622AC5">
        <w:rPr>
          <w:rFonts w:ascii="Arial" w:hAnsi="Arial" w:cs="Arial"/>
          <w:sz w:val="24"/>
          <w:szCs w:val="24"/>
          <w:shd w:val="clear" w:color="auto" w:fill="FFFFFF"/>
          <w:lang w:val="en-US"/>
        </w:rPr>
        <w:t>,</w:t>
      </w:r>
      <w:r w:rsidR="00FF0340" w:rsidRPr="00622AC5">
        <w:rPr>
          <w:rStyle w:val="apple-converted-space"/>
          <w:rFonts w:ascii="Arial" w:hAnsi="Arial" w:cs="Arial"/>
          <w:sz w:val="24"/>
          <w:szCs w:val="24"/>
          <w:shd w:val="clear" w:color="auto" w:fill="FFFFFF"/>
          <w:lang w:val="en-US"/>
        </w:rPr>
        <w:t> </w:t>
      </w:r>
      <w:r w:rsidR="00FF0340" w:rsidRPr="00622AC5">
        <w:rPr>
          <w:rFonts w:ascii="Arial" w:hAnsi="Arial" w:cs="Arial"/>
          <w:sz w:val="24"/>
          <w:szCs w:val="24"/>
          <w:shd w:val="clear" w:color="auto" w:fill="FFFFFF"/>
          <w:lang w:val="en-US"/>
        </w:rPr>
        <w:t>Troosters T</w:t>
      </w:r>
      <w:r w:rsidR="00FF0340" w:rsidRPr="00622AC5">
        <w:rPr>
          <w:rFonts w:ascii="Arial" w:hAnsi="Arial" w:cs="Arial"/>
          <w:sz w:val="24"/>
          <w:szCs w:val="24"/>
          <w:lang w:val="en-US"/>
        </w:rPr>
        <w:t xml:space="preserve">. </w:t>
      </w:r>
      <w:r w:rsidR="00FF0340" w:rsidRPr="006450D0">
        <w:rPr>
          <w:rFonts w:ascii="Arial" w:hAnsi="Arial" w:cs="Arial"/>
          <w:sz w:val="24"/>
          <w:szCs w:val="24"/>
          <w:lang w:val="en-US"/>
        </w:rPr>
        <w:t>The</w:t>
      </w:r>
      <w:r w:rsidR="00FF0340">
        <w:rPr>
          <w:rFonts w:ascii="Arial" w:hAnsi="Arial" w:cs="Arial"/>
          <w:sz w:val="24"/>
          <w:szCs w:val="24"/>
          <w:lang w:val="en-US"/>
        </w:rPr>
        <w:t xml:space="preserve"> effects of a physical activity-counseling</w:t>
      </w:r>
      <w:r w:rsidR="00FF0340" w:rsidRPr="006450D0">
        <w:rPr>
          <w:rFonts w:ascii="Arial" w:hAnsi="Arial" w:cs="Arial"/>
          <w:sz w:val="24"/>
          <w:szCs w:val="24"/>
          <w:lang w:val="en-US"/>
        </w:rPr>
        <w:t xml:space="preserve"> program after an exacerbation in patients with Chronic Obstructive Pulmonary Disease: a randomized controlled pilot study. </w:t>
      </w:r>
      <w:r w:rsidR="00FF0340" w:rsidRPr="001C24E2">
        <w:rPr>
          <w:rFonts w:ascii="Arial" w:hAnsi="Arial" w:cs="Arial"/>
          <w:sz w:val="24"/>
          <w:szCs w:val="24"/>
          <w:shd w:val="clear" w:color="auto" w:fill="FFFFFF"/>
          <w:lang w:val="en-US"/>
        </w:rPr>
        <w:t>BMC Pulm Med.</w:t>
      </w:r>
      <w:r w:rsidR="00FF0340" w:rsidRPr="001C24E2">
        <w:rPr>
          <w:rStyle w:val="apple-converted-space"/>
          <w:rFonts w:ascii="Arial" w:hAnsi="Arial" w:cs="Arial"/>
          <w:sz w:val="24"/>
          <w:szCs w:val="24"/>
          <w:shd w:val="clear" w:color="auto" w:fill="FFFFFF"/>
          <w:lang w:val="en-US"/>
        </w:rPr>
        <w:t> </w:t>
      </w:r>
      <w:r w:rsidR="00FF0340" w:rsidRPr="001C24E2">
        <w:rPr>
          <w:rFonts w:ascii="Arial" w:hAnsi="Arial" w:cs="Arial"/>
          <w:sz w:val="24"/>
          <w:szCs w:val="24"/>
          <w:shd w:val="clear" w:color="auto" w:fill="FFFFFF"/>
          <w:lang w:val="en-US"/>
        </w:rPr>
        <w:t>2015: 4; 15:136.</w:t>
      </w:r>
    </w:p>
    <w:p w:rsidR="00FF0340" w:rsidRPr="00FF0340" w:rsidRDefault="00FF0340" w:rsidP="00FF0340">
      <w:pPr>
        <w:pStyle w:val="Prrafodelista"/>
        <w:numPr>
          <w:ilvl w:val="0"/>
          <w:numId w:val="7"/>
        </w:numPr>
        <w:spacing w:after="0" w:line="240" w:lineRule="auto"/>
        <w:jc w:val="both"/>
        <w:rPr>
          <w:rFonts w:ascii="Arial" w:hAnsi="Arial" w:cs="Arial"/>
          <w:sz w:val="24"/>
          <w:szCs w:val="24"/>
        </w:rPr>
      </w:pPr>
      <w:r w:rsidRPr="006450D0">
        <w:rPr>
          <w:rFonts w:ascii="Arial" w:hAnsi="Arial" w:cs="Arial"/>
          <w:sz w:val="24"/>
          <w:szCs w:val="24"/>
        </w:rPr>
        <w:t>Costa X, Gómez-Batíste X, Pla M, Martínez-Muñ</w:t>
      </w:r>
      <w:r>
        <w:rPr>
          <w:rFonts w:ascii="Arial" w:hAnsi="Arial" w:cs="Arial"/>
          <w:sz w:val="24"/>
          <w:szCs w:val="24"/>
        </w:rPr>
        <w:t xml:space="preserve">oz M, Blay C, Vila L. Vivir con </w:t>
      </w:r>
      <w:r w:rsidRPr="006450D0">
        <w:rPr>
          <w:rFonts w:ascii="Arial" w:hAnsi="Arial" w:cs="Arial"/>
          <w:sz w:val="24"/>
          <w:szCs w:val="24"/>
        </w:rPr>
        <w:t xml:space="preserve">la enfermedad pulmonar obstructiva crónica avanzada: el impacto de la disnea en los pacientes y cuidadores. Aten Primaria. 2016. [Internet]. [Consultado agosto 9 2016]. </w:t>
      </w:r>
      <w:r w:rsidRPr="00FF0340">
        <w:rPr>
          <w:rFonts w:ascii="Arial" w:hAnsi="Arial" w:cs="Arial"/>
          <w:sz w:val="24"/>
          <w:szCs w:val="24"/>
        </w:rPr>
        <w:t>Disponible en: http://www.elsevier.es/es-revista-atencion-primaria-27-avance-resumen-vivir-con-enfermedad-pulmonar-obstructiva-S021265671630097X?referer=buscador</w:t>
      </w:r>
    </w:p>
    <w:p w:rsidR="00FF0340" w:rsidRPr="007E0E52" w:rsidRDefault="00FF0340" w:rsidP="00FF0340">
      <w:pPr>
        <w:pStyle w:val="Prrafodelista"/>
        <w:numPr>
          <w:ilvl w:val="0"/>
          <w:numId w:val="7"/>
        </w:numPr>
        <w:spacing w:after="0" w:line="240" w:lineRule="auto"/>
        <w:jc w:val="both"/>
        <w:rPr>
          <w:rFonts w:ascii="Arial" w:hAnsi="Arial" w:cs="Arial"/>
          <w:sz w:val="24"/>
          <w:szCs w:val="24"/>
        </w:rPr>
      </w:pPr>
      <w:r w:rsidRPr="006450D0">
        <w:rPr>
          <w:rFonts w:ascii="Arial" w:hAnsi="Arial" w:cs="Arial"/>
          <w:sz w:val="24"/>
          <w:szCs w:val="24"/>
        </w:rPr>
        <w:t>Villarejo Aguilar L. Diagnósticos de enfermería prevalentes en pacientes con EPOC tras el alta hospitalaria. ENE. Revista de Enfermería. 2011; 5 (3):16-24.</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rPr>
      </w:pPr>
      <w:r w:rsidRPr="006450D0">
        <w:rPr>
          <w:rFonts w:ascii="Arial" w:hAnsi="Arial" w:cs="Arial"/>
          <w:sz w:val="24"/>
          <w:szCs w:val="24"/>
        </w:rPr>
        <w:t xml:space="preserve">Vinaccia S, Quiceno JM. </w:t>
      </w:r>
      <w:r w:rsidRPr="006450D0">
        <w:rPr>
          <w:rFonts w:ascii="Arial" w:hAnsi="Arial" w:cs="Arial"/>
          <w:bCs/>
          <w:sz w:val="24"/>
          <w:szCs w:val="24"/>
        </w:rPr>
        <w:t xml:space="preserve">Calidad de Vida Relacionada con la Salud y Factores Psicológicos: Un Estudio desde la Enfermedad Pulmonar Obstructiva Crónica – EPOC. </w:t>
      </w:r>
      <w:r w:rsidRPr="006450D0">
        <w:rPr>
          <w:rFonts w:ascii="Arial" w:hAnsi="Arial" w:cs="Arial"/>
          <w:sz w:val="24"/>
          <w:szCs w:val="24"/>
        </w:rPr>
        <w:t>Terapia Psicológica. 2011, Vol. 29, Nº 1, 65-75.</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rPr>
      </w:pPr>
      <w:r w:rsidRPr="006450D0">
        <w:rPr>
          <w:rFonts w:ascii="Arial" w:eastAsia="MaiolaPro" w:hAnsi="Arial" w:cs="Arial"/>
          <w:sz w:val="24"/>
          <w:szCs w:val="24"/>
        </w:rPr>
        <w:t xml:space="preserve">Betancourt-Peña J. Muñoz-Erazo BE, Mora-Guerra RV. Calidad de vida en pacientes con enfermedad Pulmonar obstructiva crónica al ingreso de Un programa de rehabilitación </w:t>
      </w:r>
      <w:r>
        <w:rPr>
          <w:rFonts w:ascii="Arial" w:eastAsia="MaiolaPro" w:hAnsi="Arial" w:cs="Arial"/>
          <w:sz w:val="24"/>
          <w:szCs w:val="24"/>
        </w:rPr>
        <w:t xml:space="preserve">pulmonar. REV. COL. REH. 2015; </w:t>
      </w:r>
      <w:r w:rsidRPr="006450D0">
        <w:rPr>
          <w:rFonts w:ascii="Arial" w:eastAsia="MaiolaPro" w:hAnsi="Arial" w:cs="Arial"/>
          <w:sz w:val="24"/>
          <w:szCs w:val="24"/>
        </w:rPr>
        <w:t>14: 96 102.</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rPr>
      </w:pPr>
      <w:r w:rsidRPr="006450D0">
        <w:rPr>
          <w:rFonts w:ascii="Arial" w:hAnsi="Arial" w:cs="Arial"/>
          <w:sz w:val="24"/>
          <w:szCs w:val="24"/>
        </w:rPr>
        <w:t>Valencia-Rico CL. Calidad de vida en adultos con enfermedad pulmonar obstructiva crónica ingresados a programa de rehabilitación pulmonar. Rev Col Med Fis Rehab 2012; 22(2): 99-108.</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rPr>
      </w:pPr>
      <w:r w:rsidRPr="006450D0">
        <w:rPr>
          <w:rFonts w:ascii="Arial" w:hAnsi="Arial" w:cs="Arial"/>
          <w:sz w:val="24"/>
          <w:szCs w:val="24"/>
        </w:rPr>
        <w:t>Padilla-Zárate MP, Cortés-Poza D, Martínez-Soto JM, Herrera-Cenobio T,</w:t>
      </w:r>
      <w:r>
        <w:rPr>
          <w:rFonts w:ascii="Arial" w:hAnsi="Arial" w:cs="Arial"/>
          <w:sz w:val="24"/>
          <w:szCs w:val="24"/>
        </w:rPr>
        <w:t xml:space="preserve"> </w:t>
      </w:r>
      <w:r w:rsidRPr="006450D0">
        <w:rPr>
          <w:rFonts w:ascii="Arial" w:hAnsi="Arial" w:cs="Arial"/>
          <w:sz w:val="24"/>
          <w:szCs w:val="24"/>
        </w:rPr>
        <w:t xml:space="preserve">Vázquez-Bautista MC, García-Flores M, et al. Autocuidado y calidad de vida posterior a la consejería de enfermería en pacientes con enfermedad pulmonar obstructiva crónica. </w:t>
      </w:r>
      <w:r w:rsidRPr="006450D0">
        <w:rPr>
          <w:rFonts w:ascii="Arial" w:hAnsi="Arial" w:cs="Arial"/>
          <w:bCs/>
          <w:sz w:val="24"/>
          <w:szCs w:val="24"/>
        </w:rPr>
        <w:t>Revista Mexicana de Enfermería Cardiológica 2013; 21 (1): 15-23.</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rPr>
      </w:pPr>
      <w:r w:rsidRPr="006450D0">
        <w:rPr>
          <w:rFonts w:ascii="Arial" w:hAnsi="Arial" w:cs="Arial"/>
          <w:sz w:val="24"/>
          <w:szCs w:val="24"/>
        </w:rPr>
        <w:t xml:space="preserve">Villarejo-Aguilar L. </w:t>
      </w:r>
      <w:r w:rsidRPr="006450D0">
        <w:rPr>
          <w:rFonts w:ascii="Arial" w:hAnsi="Arial" w:cs="Arial"/>
          <w:bCs/>
          <w:color w:val="000000"/>
          <w:sz w:val="24"/>
          <w:szCs w:val="24"/>
        </w:rPr>
        <w:t>Intervenciones propuestas por las enfermeras hospitalarias para el seguimiento de pacientes con enfermedades</w:t>
      </w:r>
      <w:r w:rsidRPr="006450D0">
        <w:rPr>
          <w:rFonts w:ascii="Arial" w:hAnsi="Arial" w:cs="Arial"/>
          <w:bCs/>
          <w:sz w:val="24"/>
          <w:szCs w:val="24"/>
        </w:rPr>
        <w:t xml:space="preserve"> crónicas.</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rPr>
      </w:pPr>
      <w:r w:rsidRPr="007C23AB">
        <w:rPr>
          <w:rFonts w:ascii="Arial" w:hAnsi="Arial" w:cs="Arial"/>
          <w:sz w:val="24"/>
          <w:szCs w:val="24"/>
        </w:rPr>
        <w:t>Sakraida TJ. Modelo de Promoción de la Salud. En: Ra</w:t>
      </w:r>
      <w:r>
        <w:rPr>
          <w:rFonts w:ascii="Arial" w:hAnsi="Arial" w:cs="Arial"/>
          <w:sz w:val="24"/>
          <w:szCs w:val="24"/>
        </w:rPr>
        <w:t>ile-Alligood</w:t>
      </w:r>
      <w:r w:rsidRPr="007C23AB">
        <w:rPr>
          <w:rFonts w:ascii="Arial" w:hAnsi="Arial" w:cs="Arial"/>
          <w:sz w:val="24"/>
          <w:szCs w:val="24"/>
        </w:rPr>
        <w:t>. Mo</w:t>
      </w:r>
      <w:r>
        <w:rPr>
          <w:rFonts w:ascii="Arial" w:hAnsi="Arial" w:cs="Arial"/>
          <w:sz w:val="24"/>
          <w:szCs w:val="24"/>
        </w:rPr>
        <w:t>delos y Teorías de Enfermería. 8</w:t>
      </w:r>
      <w:r w:rsidRPr="007C23AB">
        <w:rPr>
          <w:rFonts w:ascii="Arial" w:hAnsi="Arial" w:cs="Arial"/>
          <w:sz w:val="24"/>
          <w:szCs w:val="24"/>
          <w:vertAlign w:val="subscript"/>
        </w:rPr>
        <w:t>a</w:t>
      </w:r>
      <w:r w:rsidRPr="007C23AB">
        <w:rPr>
          <w:rFonts w:ascii="Arial" w:hAnsi="Arial" w:cs="Arial"/>
          <w:sz w:val="24"/>
          <w:szCs w:val="24"/>
        </w:rPr>
        <w:t xml:space="preserve"> ed. Barcelona España: Elsevier; 2015: 391-392.</w:t>
      </w:r>
    </w:p>
    <w:p w:rsidR="00FF0340" w:rsidRPr="00775AE3"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rPr>
      </w:pPr>
      <w:r w:rsidRPr="006450D0">
        <w:rPr>
          <w:rFonts w:ascii="Arial" w:hAnsi="Arial" w:cs="Arial"/>
          <w:sz w:val="24"/>
          <w:szCs w:val="24"/>
        </w:rPr>
        <w:t>Aristizábal-Hoyos GP, Blanco-Borjas DM, Sánchez-Ramos A, Ostiguín-Meléndez RM. El modelo de promoción de la salud de Nola Pender. Una reflexión en torno a su comprensión. Enfermería Universitaria. 2011; 8 (4): 16-23.</w:t>
      </w:r>
    </w:p>
    <w:p w:rsidR="00FF0340" w:rsidRPr="00FF0340"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lang w:val="en-US"/>
        </w:rPr>
      </w:pPr>
      <w:r w:rsidRPr="006450D0">
        <w:rPr>
          <w:rFonts w:ascii="Arial" w:hAnsi="Arial" w:cs="Arial"/>
          <w:color w:val="000000"/>
          <w:sz w:val="24"/>
          <w:szCs w:val="24"/>
          <w:lang w:val="en-US"/>
        </w:rPr>
        <w:t xml:space="preserve">Blakemore Amy, et al. Depression and anxiety predict health-related quality of life in chronic obstructive pulmonary disease: systematic review and meta-analysis. In: International Journal of Chronic Obstructive Pulmonary Disease, 2014, vol, 9, p. 501–512. </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lang w:val="en-US"/>
        </w:rPr>
      </w:pPr>
      <w:r w:rsidRPr="006450D0">
        <w:rPr>
          <w:rFonts w:ascii="Arial" w:hAnsi="Arial" w:cs="Arial"/>
          <w:color w:val="000000"/>
          <w:sz w:val="24"/>
          <w:szCs w:val="24"/>
          <w:lang w:val="en-US"/>
        </w:rPr>
        <w:t xml:space="preserve">National Collaborating Centre for Mental Health. Depression in adults with a chronic physical health problem. The Nice Guideline on Treatment and Management. National Clinical Practice Guideline 91. London: The British Psychological Society and the Royal College of Psychiatrist; 2010: 15-27.  </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lang w:val="en-US"/>
        </w:rPr>
      </w:pPr>
      <w:r w:rsidRPr="006450D0">
        <w:rPr>
          <w:rFonts w:ascii="Arial" w:hAnsi="Arial" w:cs="Arial"/>
          <w:sz w:val="24"/>
          <w:szCs w:val="24"/>
        </w:rPr>
        <w:t xml:space="preserve">Pérez-Fortis A, Ulla-Díez SM, Padilla JL. </w:t>
      </w:r>
      <w:r w:rsidRPr="006450D0">
        <w:rPr>
          <w:rFonts w:ascii="Arial" w:hAnsi="Arial" w:cs="Arial"/>
          <w:sz w:val="24"/>
          <w:szCs w:val="24"/>
          <w:lang w:val="en-US"/>
        </w:rPr>
        <w:t>Psychometric Properties of the Spanish Version of the Health-Promoting Lifestyle Pro</w:t>
      </w:r>
      <w:r w:rsidRPr="006450D0">
        <w:rPr>
          <w:rFonts w:ascii="Arial" w:hAnsi="Arial" w:cs="Arial"/>
          <w:sz w:val="24"/>
          <w:szCs w:val="24"/>
        </w:rPr>
        <w:t>ﬁ</w:t>
      </w:r>
      <w:r w:rsidRPr="006450D0">
        <w:rPr>
          <w:rFonts w:ascii="Arial" w:hAnsi="Arial" w:cs="Arial"/>
          <w:sz w:val="24"/>
          <w:szCs w:val="24"/>
          <w:lang w:val="en-US"/>
        </w:rPr>
        <w:t xml:space="preserve">le II. </w:t>
      </w:r>
      <w:r w:rsidRPr="006450D0">
        <w:rPr>
          <w:rFonts w:ascii="Arial" w:hAnsi="Arial" w:cs="Arial"/>
          <w:sz w:val="24"/>
          <w:szCs w:val="24"/>
        </w:rPr>
        <w:t>Researchin Nursing &amp; Health. 2012; 35: 301–313.</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lang w:val="en-US"/>
        </w:rPr>
      </w:pPr>
      <w:r w:rsidRPr="006450D0">
        <w:rPr>
          <w:rFonts w:ascii="Arial" w:hAnsi="Arial" w:cs="Arial"/>
          <w:sz w:val="24"/>
          <w:szCs w:val="24"/>
        </w:rPr>
        <w:t>Cid-H P, Merino JM, Stiepovich J. Factores biológicos y psicosociales predictores del estilo de vida promotor de salud. Rev Méd Chile. 2006; 134: 1491-1499</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lang w:val="en-US"/>
        </w:rPr>
      </w:pPr>
      <w:r w:rsidRPr="006450D0">
        <w:rPr>
          <w:rFonts w:ascii="Arial" w:hAnsi="Arial" w:cs="Arial"/>
          <w:sz w:val="24"/>
          <w:szCs w:val="24"/>
        </w:rPr>
        <w:t>Triviño–Vargas ZG. Conductas promotoras de salud en estudiantes de una institución de educación superior. Aquichan. 2012; 12 (3): 275-285.</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lang w:val="en-US"/>
        </w:rPr>
      </w:pPr>
      <w:r w:rsidRPr="006450D0">
        <w:rPr>
          <w:rFonts w:ascii="Arial" w:hAnsi="Arial" w:cs="Arial"/>
          <w:sz w:val="24"/>
          <w:szCs w:val="24"/>
        </w:rPr>
        <w:t>Triviño–Vargas ZG, Stiepovich J, Merino JM. Factores predictores de conductas promotoras de salud en mujeres peri- post-menopáusicas de Cali, Colombia. Col. Médica. 2007; 38 (4): 395-407.</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lang w:val="en-US"/>
        </w:rPr>
      </w:pPr>
      <w:r>
        <w:rPr>
          <w:rFonts w:ascii="Arial" w:hAnsi="Arial" w:cs="Arial"/>
          <w:color w:val="000000"/>
          <w:sz w:val="24"/>
          <w:szCs w:val="24"/>
        </w:rPr>
        <w:t>García-García M.A</w:t>
      </w:r>
      <w:r w:rsidRPr="006450D0">
        <w:rPr>
          <w:rFonts w:ascii="Arial" w:hAnsi="Arial" w:cs="Arial"/>
          <w:color w:val="000000"/>
          <w:sz w:val="24"/>
          <w:szCs w:val="24"/>
        </w:rPr>
        <w:t>, Taja</w:t>
      </w:r>
      <w:r>
        <w:rPr>
          <w:rFonts w:ascii="Arial" w:hAnsi="Arial" w:cs="Arial"/>
          <w:color w:val="000000"/>
          <w:sz w:val="24"/>
          <w:szCs w:val="24"/>
        </w:rPr>
        <w:t>dura-Albillos M.C, Gil-</w:t>
      </w:r>
      <w:r w:rsidRPr="006450D0">
        <w:rPr>
          <w:rFonts w:ascii="Arial" w:hAnsi="Arial" w:cs="Arial"/>
          <w:color w:val="000000"/>
          <w:sz w:val="24"/>
          <w:szCs w:val="24"/>
        </w:rPr>
        <w:t>Millán P</w:t>
      </w:r>
      <w:r>
        <w:rPr>
          <w:rFonts w:ascii="Arial" w:hAnsi="Arial" w:cs="Arial"/>
          <w:color w:val="000000"/>
          <w:sz w:val="24"/>
          <w:szCs w:val="24"/>
        </w:rPr>
        <w:t>, Millán-Cuesta B</w:t>
      </w:r>
      <w:r w:rsidRPr="006450D0">
        <w:rPr>
          <w:rFonts w:ascii="Arial" w:hAnsi="Arial" w:cs="Arial"/>
          <w:color w:val="000000"/>
          <w:sz w:val="24"/>
          <w:szCs w:val="24"/>
        </w:rPr>
        <w:t>. Valoración del grado de dependencia de los pacientes mayores de 75 años que ingresan en la unidad d</w:t>
      </w:r>
      <w:r>
        <w:rPr>
          <w:rFonts w:ascii="Arial" w:hAnsi="Arial" w:cs="Arial"/>
          <w:color w:val="000000"/>
          <w:sz w:val="24"/>
          <w:szCs w:val="24"/>
        </w:rPr>
        <w:t>e traumatología. Enferm. glob. 2011; 10 (4): 19-38.</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bCs/>
          <w:sz w:val="24"/>
          <w:szCs w:val="24"/>
        </w:rPr>
      </w:pPr>
      <w:r>
        <w:rPr>
          <w:rFonts w:ascii="Arial" w:hAnsi="Arial" w:cs="Arial"/>
          <w:sz w:val="24"/>
          <w:szCs w:val="24"/>
        </w:rPr>
        <w:t>Villarejo-Aguilar</w:t>
      </w:r>
      <w:r w:rsidRPr="00BF240B">
        <w:rPr>
          <w:rFonts w:ascii="Arial" w:hAnsi="Arial" w:cs="Arial"/>
          <w:sz w:val="24"/>
          <w:szCs w:val="24"/>
        </w:rPr>
        <w:t xml:space="preserve"> L. </w:t>
      </w:r>
      <w:r w:rsidRPr="00BF240B">
        <w:rPr>
          <w:rFonts w:ascii="Arial" w:hAnsi="Arial" w:cs="Arial"/>
          <w:bCs/>
          <w:sz w:val="24"/>
          <w:szCs w:val="24"/>
        </w:rPr>
        <w:t xml:space="preserve">Diagnósticos de Enfermería prevalentes en pacientes con EPOC tras el alta hospitalaria. </w:t>
      </w:r>
      <w:r w:rsidRPr="00BF240B">
        <w:rPr>
          <w:rFonts w:ascii="Arial" w:hAnsi="Arial" w:cs="Arial"/>
          <w:sz w:val="24"/>
          <w:szCs w:val="24"/>
        </w:rPr>
        <w:t>Revista de Enf</w:t>
      </w:r>
      <w:r>
        <w:rPr>
          <w:rFonts w:ascii="Arial" w:hAnsi="Arial" w:cs="Arial"/>
          <w:sz w:val="24"/>
          <w:szCs w:val="24"/>
        </w:rPr>
        <w:t xml:space="preserve">ermería. (España) 2011; </w:t>
      </w:r>
      <w:r w:rsidRPr="00BF240B">
        <w:rPr>
          <w:rFonts w:ascii="Arial" w:hAnsi="Arial" w:cs="Arial"/>
          <w:sz w:val="24"/>
          <w:szCs w:val="24"/>
        </w:rPr>
        <w:t>5</w:t>
      </w:r>
      <w:r>
        <w:rPr>
          <w:rFonts w:ascii="Arial" w:hAnsi="Arial" w:cs="Arial"/>
          <w:sz w:val="24"/>
          <w:szCs w:val="24"/>
        </w:rPr>
        <w:t xml:space="preserve"> (</w:t>
      </w:r>
      <w:r w:rsidRPr="00BF240B">
        <w:rPr>
          <w:rFonts w:ascii="Arial" w:hAnsi="Arial" w:cs="Arial"/>
          <w:sz w:val="24"/>
          <w:szCs w:val="24"/>
        </w:rPr>
        <w:t>3</w:t>
      </w:r>
      <w:r>
        <w:rPr>
          <w:rFonts w:ascii="Arial" w:hAnsi="Arial" w:cs="Arial"/>
          <w:sz w:val="24"/>
          <w:szCs w:val="24"/>
        </w:rPr>
        <w:t>)</w:t>
      </w:r>
      <w:r w:rsidRPr="00BF240B">
        <w:rPr>
          <w:rFonts w:ascii="Arial" w:hAnsi="Arial" w:cs="Arial"/>
          <w:sz w:val="24"/>
          <w:szCs w:val="24"/>
        </w:rPr>
        <w:t xml:space="preserve">:16-24. </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lang w:val="en-US"/>
        </w:rPr>
      </w:pPr>
      <w:r>
        <w:rPr>
          <w:rFonts w:ascii="Arial" w:hAnsi="Arial" w:cs="Arial"/>
          <w:color w:val="000000"/>
          <w:sz w:val="24"/>
          <w:szCs w:val="24"/>
        </w:rPr>
        <w:t>Cortés-N AR, Villarreal-R E, Galicia-R L</w:t>
      </w:r>
      <w:r w:rsidRPr="00CF03CD">
        <w:rPr>
          <w:rFonts w:ascii="Arial" w:hAnsi="Arial" w:cs="Arial"/>
          <w:color w:val="000000"/>
          <w:sz w:val="24"/>
          <w:szCs w:val="24"/>
        </w:rPr>
        <w:t>, Mar</w:t>
      </w:r>
      <w:r>
        <w:rPr>
          <w:rFonts w:ascii="Arial" w:hAnsi="Arial" w:cs="Arial"/>
          <w:color w:val="000000"/>
          <w:sz w:val="24"/>
          <w:szCs w:val="24"/>
        </w:rPr>
        <w:t>tínez-G L, Vargas-D E</w:t>
      </w:r>
      <w:r w:rsidRPr="00CF03CD">
        <w:rPr>
          <w:rFonts w:ascii="Arial" w:hAnsi="Arial" w:cs="Arial"/>
          <w:color w:val="000000"/>
          <w:sz w:val="24"/>
          <w:szCs w:val="24"/>
        </w:rPr>
        <w:t>R. Evaluación geriátrica integral del adulto mayor. Re</w:t>
      </w:r>
      <w:r>
        <w:rPr>
          <w:rFonts w:ascii="Arial" w:hAnsi="Arial" w:cs="Arial"/>
          <w:color w:val="000000"/>
          <w:sz w:val="24"/>
          <w:szCs w:val="24"/>
        </w:rPr>
        <w:t>v. méd. Chile. 2011; </w:t>
      </w:r>
      <w:r w:rsidRPr="00CF03CD">
        <w:rPr>
          <w:rFonts w:ascii="Arial" w:hAnsi="Arial" w:cs="Arial"/>
          <w:color w:val="000000"/>
          <w:sz w:val="24"/>
          <w:szCs w:val="24"/>
        </w:rPr>
        <w:t>139</w:t>
      </w:r>
      <w:r>
        <w:rPr>
          <w:rFonts w:ascii="Arial" w:hAnsi="Arial" w:cs="Arial"/>
          <w:color w:val="000000"/>
          <w:sz w:val="24"/>
          <w:szCs w:val="24"/>
        </w:rPr>
        <w:t xml:space="preserve"> (</w:t>
      </w:r>
      <w:r w:rsidRPr="00CF03CD">
        <w:rPr>
          <w:rFonts w:ascii="Arial" w:hAnsi="Arial" w:cs="Arial"/>
          <w:color w:val="000000"/>
          <w:sz w:val="24"/>
          <w:szCs w:val="24"/>
        </w:rPr>
        <w:t>6): 725-731</w:t>
      </w:r>
      <w:r>
        <w:rPr>
          <w:rFonts w:ascii="Arial" w:hAnsi="Arial" w:cs="Arial"/>
          <w:color w:val="000000"/>
          <w:sz w:val="24"/>
          <w:szCs w:val="24"/>
        </w:rPr>
        <w:t>.</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lang w:val="en-US"/>
        </w:rPr>
      </w:pPr>
      <w:r>
        <w:rPr>
          <w:rFonts w:ascii="Arial" w:hAnsi="Arial" w:cs="Arial"/>
          <w:color w:val="000000"/>
          <w:sz w:val="24"/>
          <w:szCs w:val="24"/>
        </w:rPr>
        <w:t>Arnau A, Espaulella J, Serrarols M, Canudas J</w:t>
      </w:r>
      <w:r w:rsidRPr="00535B44">
        <w:rPr>
          <w:rFonts w:ascii="Arial" w:hAnsi="Arial" w:cs="Arial"/>
          <w:color w:val="000000"/>
          <w:sz w:val="24"/>
          <w:szCs w:val="24"/>
        </w:rPr>
        <w:t xml:space="preserve">, Formiga </w:t>
      </w:r>
      <w:r>
        <w:rPr>
          <w:rFonts w:ascii="Arial" w:hAnsi="Arial" w:cs="Arial"/>
          <w:color w:val="000000"/>
          <w:sz w:val="24"/>
          <w:szCs w:val="24"/>
        </w:rPr>
        <w:t>F, Ferrer M</w:t>
      </w:r>
      <w:r w:rsidRPr="00535B44">
        <w:rPr>
          <w:rFonts w:ascii="Arial" w:hAnsi="Arial" w:cs="Arial"/>
          <w:color w:val="000000"/>
          <w:sz w:val="24"/>
          <w:szCs w:val="24"/>
        </w:rPr>
        <w:t>. Factores asociados al estado funcional en personas de 75 o más años de e</w:t>
      </w:r>
      <w:r>
        <w:rPr>
          <w:rFonts w:ascii="Arial" w:hAnsi="Arial" w:cs="Arial"/>
          <w:color w:val="000000"/>
          <w:sz w:val="24"/>
          <w:szCs w:val="24"/>
        </w:rPr>
        <w:t>dad no dependientes. Gac Sanit. 2012; </w:t>
      </w:r>
      <w:r w:rsidRPr="00535B44">
        <w:rPr>
          <w:rFonts w:ascii="Arial" w:hAnsi="Arial" w:cs="Arial"/>
          <w:color w:val="000000"/>
          <w:sz w:val="24"/>
          <w:szCs w:val="24"/>
        </w:rPr>
        <w:t>26</w:t>
      </w:r>
      <w:r>
        <w:rPr>
          <w:rFonts w:ascii="Arial" w:hAnsi="Arial" w:cs="Arial"/>
          <w:color w:val="000000"/>
          <w:sz w:val="24"/>
          <w:szCs w:val="24"/>
        </w:rPr>
        <w:t xml:space="preserve"> </w:t>
      </w:r>
      <w:r w:rsidRPr="00535B44">
        <w:rPr>
          <w:rFonts w:ascii="Arial" w:hAnsi="Arial" w:cs="Arial"/>
          <w:color w:val="000000"/>
          <w:sz w:val="24"/>
          <w:szCs w:val="24"/>
        </w:rPr>
        <w:t>(5): 405-413.</w:t>
      </w:r>
    </w:p>
    <w:p w:rsidR="00FF0340" w:rsidRPr="007E0E52" w:rsidRDefault="00FF0340" w:rsidP="00FF0340">
      <w:pPr>
        <w:pStyle w:val="Prrafodelista"/>
        <w:numPr>
          <w:ilvl w:val="0"/>
          <w:numId w:val="7"/>
        </w:numPr>
        <w:autoSpaceDE w:val="0"/>
        <w:autoSpaceDN w:val="0"/>
        <w:adjustRightInd w:val="0"/>
        <w:spacing w:after="0" w:line="240" w:lineRule="auto"/>
        <w:jc w:val="both"/>
        <w:rPr>
          <w:rFonts w:ascii="Arial" w:hAnsi="Arial" w:cs="Arial"/>
          <w:sz w:val="24"/>
          <w:szCs w:val="24"/>
          <w:lang w:val="en-US"/>
        </w:rPr>
      </w:pPr>
      <w:r>
        <w:rPr>
          <w:rFonts w:ascii="Arial" w:hAnsi="Arial" w:cs="Arial"/>
          <w:color w:val="000000"/>
          <w:sz w:val="24"/>
          <w:szCs w:val="24"/>
        </w:rPr>
        <w:t>Rodríguez-Medina R</w:t>
      </w:r>
      <w:r w:rsidRPr="0055487E">
        <w:rPr>
          <w:rFonts w:ascii="Arial" w:hAnsi="Arial" w:cs="Arial"/>
          <w:color w:val="000000"/>
          <w:sz w:val="24"/>
          <w:szCs w:val="24"/>
        </w:rPr>
        <w:t>M</w:t>
      </w:r>
      <w:r>
        <w:rPr>
          <w:rFonts w:ascii="Arial" w:hAnsi="Arial" w:cs="Arial"/>
          <w:color w:val="000000"/>
          <w:sz w:val="24"/>
          <w:szCs w:val="24"/>
        </w:rPr>
        <w:t>, Landeros-Pérez M</w:t>
      </w:r>
      <w:r w:rsidRPr="0055487E">
        <w:rPr>
          <w:rFonts w:ascii="Arial" w:hAnsi="Arial" w:cs="Arial"/>
          <w:color w:val="000000"/>
          <w:sz w:val="24"/>
          <w:szCs w:val="24"/>
        </w:rPr>
        <w:t>E. Sobrecarga del agente de cuidado dependiente y su relación con la dependencia funcional del adulto mayor. Enferm</w:t>
      </w:r>
      <w:r>
        <w:rPr>
          <w:rFonts w:ascii="Arial" w:hAnsi="Arial" w:cs="Arial"/>
          <w:color w:val="000000"/>
          <w:sz w:val="24"/>
          <w:szCs w:val="24"/>
        </w:rPr>
        <w:t>. univ</w:t>
      </w:r>
      <w:r w:rsidRPr="0055487E">
        <w:rPr>
          <w:rFonts w:ascii="Arial" w:hAnsi="Arial" w:cs="Arial"/>
          <w:color w:val="000000"/>
          <w:sz w:val="24"/>
          <w:szCs w:val="24"/>
        </w:rPr>
        <w:t>. 2</w:t>
      </w:r>
      <w:r>
        <w:rPr>
          <w:rFonts w:ascii="Arial" w:hAnsi="Arial" w:cs="Arial"/>
          <w:color w:val="000000"/>
          <w:sz w:val="24"/>
          <w:szCs w:val="24"/>
        </w:rPr>
        <w:t>014; </w:t>
      </w:r>
      <w:r w:rsidRPr="0055487E">
        <w:rPr>
          <w:rFonts w:ascii="Arial" w:hAnsi="Arial" w:cs="Arial"/>
          <w:color w:val="000000"/>
          <w:sz w:val="24"/>
          <w:szCs w:val="24"/>
        </w:rPr>
        <w:t>11</w:t>
      </w:r>
      <w:r>
        <w:rPr>
          <w:rFonts w:ascii="Arial" w:hAnsi="Arial" w:cs="Arial"/>
          <w:color w:val="000000"/>
          <w:sz w:val="24"/>
          <w:szCs w:val="24"/>
        </w:rPr>
        <w:t xml:space="preserve"> (3</w:t>
      </w:r>
      <w:r w:rsidRPr="0055487E">
        <w:rPr>
          <w:rFonts w:ascii="Arial" w:hAnsi="Arial" w:cs="Arial"/>
          <w:color w:val="000000"/>
          <w:sz w:val="24"/>
          <w:szCs w:val="24"/>
        </w:rPr>
        <w:t>): 87-93.</w:t>
      </w:r>
      <w:r w:rsidRPr="0055487E">
        <w:rPr>
          <w:rStyle w:val="apple-converted-space"/>
          <w:rFonts w:ascii="Arial" w:hAnsi="Arial" w:cs="Arial"/>
          <w:color w:val="000000"/>
          <w:sz w:val="24"/>
          <w:szCs w:val="24"/>
        </w:rPr>
        <w:t> </w:t>
      </w:r>
    </w:p>
    <w:p w:rsidR="00FF0340" w:rsidRPr="00775AE3" w:rsidRDefault="00FF0340" w:rsidP="00FF0340">
      <w:pPr>
        <w:pStyle w:val="Prrafodelista"/>
        <w:numPr>
          <w:ilvl w:val="0"/>
          <w:numId w:val="7"/>
        </w:numPr>
        <w:autoSpaceDE w:val="0"/>
        <w:autoSpaceDN w:val="0"/>
        <w:adjustRightInd w:val="0"/>
        <w:spacing w:after="0" w:line="240" w:lineRule="auto"/>
        <w:rPr>
          <w:rFonts w:ascii="Arial" w:hAnsi="Arial" w:cs="Arial"/>
          <w:sz w:val="24"/>
          <w:szCs w:val="24"/>
        </w:rPr>
      </w:pPr>
      <w:r w:rsidRPr="00775AE3">
        <w:rPr>
          <w:rFonts w:ascii="Arial" w:hAnsi="Arial" w:cs="Arial"/>
          <w:sz w:val="24"/>
          <w:szCs w:val="24"/>
        </w:rPr>
        <w:t>Laguado Jaimes E, Gómez Díaz MP. Estilos de vida saludable en estudiantes de Enfermería en la Universidad</w:t>
      </w:r>
      <w:r>
        <w:rPr>
          <w:rFonts w:ascii="Arial" w:hAnsi="Arial" w:cs="Arial"/>
          <w:sz w:val="24"/>
          <w:szCs w:val="24"/>
        </w:rPr>
        <w:t xml:space="preserve"> </w:t>
      </w:r>
      <w:r w:rsidRPr="00775AE3">
        <w:rPr>
          <w:rFonts w:ascii="Arial" w:hAnsi="Arial" w:cs="Arial"/>
          <w:sz w:val="24"/>
          <w:szCs w:val="24"/>
        </w:rPr>
        <w:t>Cooperativa de Colombia. Hacia promoc. salud. 2014; 19(1):68-83.</w:t>
      </w:r>
    </w:p>
    <w:p w:rsidR="00FF0340" w:rsidRPr="007E0E52" w:rsidRDefault="00FF0340" w:rsidP="00FF0340">
      <w:pPr>
        <w:pStyle w:val="Textocomentario"/>
        <w:numPr>
          <w:ilvl w:val="0"/>
          <w:numId w:val="7"/>
        </w:numPr>
        <w:spacing w:after="0"/>
        <w:jc w:val="both"/>
        <w:rPr>
          <w:rFonts w:ascii="Arial" w:hAnsi="Arial" w:cs="Arial"/>
          <w:sz w:val="24"/>
          <w:szCs w:val="24"/>
        </w:rPr>
      </w:pPr>
      <w:r w:rsidRPr="000C489F">
        <w:rPr>
          <w:rFonts w:ascii="Arial" w:hAnsi="Arial" w:cs="Arial"/>
          <w:color w:val="000000"/>
          <w:sz w:val="24"/>
          <w:szCs w:val="24"/>
          <w:shd w:val="clear" w:color="auto" w:fill="FFFFFF"/>
          <w:lang w:val="en-US"/>
        </w:rPr>
        <w:t xml:space="preserve">Vijayan VK. </w:t>
      </w:r>
      <w:r w:rsidRPr="000C489F">
        <w:rPr>
          <w:rFonts w:ascii="Arial" w:hAnsi="Arial" w:cs="Arial"/>
          <w:color w:val="000000"/>
          <w:sz w:val="24"/>
          <w:szCs w:val="24"/>
          <w:lang w:val="en-US"/>
        </w:rPr>
        <w:t>Chronic obstructive pulmonary disease</w:t>
      </w:r>
      <w:r w:rsidRPr="000C489F">
        <w:rPr>
          <w:rFonts w:ascii="Arial" w:hAnsi="Arial" w:cs="Arial"/>
          <w:bCs/>
          <w:color w:val="000000"/>
          <w:sz w:val="24"/>
          <w:szCs w:val="24"/>
          <w:lang w:val="en-US"/>
        </w:rPr>
        <w:t xml:space="preserve">. </w:t>
      </w:r>
      <w:r w:rsidRPr="000C489F">
        <w:rPr>
          <w:rFonts w:ascii="Arial" w:hAnsi="Arial" w:cs="Arial"/>
          <w:iCs/>
          <w:color w:val="000000"/>
          <w:sz w:val="24"/>
          <w:szCs w:val="24"/>
          <w:shd w:val="clear" w:color="auto" w:fill="FFFFFF"/>
          <w:lang w:val="en-US"/>
        </w:rPr>
        <w:t>The Indian Journal of Medical Research</w:t>
      </w:r>
      <w:r w:rsidRPr="000C489F">
        <w:rPr>
          <w:rFonts w:ascii="Arial" w:hAnsi="Arial" w:cs="Arial"/>
          <w:color w:val="000000"/>
          <w:sz w:val="24"/>
          <w:szCs w:val="24"/>
          <w:shd w:val="clear" w:color="auto" w:fill="FFFFFF"/>
          <w:lang w:val="en-US"/>
        </w:rPr>
        <w:t xml:space="preserve">. 2013; </w:t>
      </w:r>
      <w:r w:rsidRPr="000C489F">
        <w:rPr>
          <w:rFonts w:ascii="Arial" w:hAnsi="Arial" w:cs="Arial"/>
          <w:iCs/>
          <w:color w:val="000000"/>
          <w:sz w:val="24"/>
          <w:szCs w:val="24"/>
          <w:shd w:val="clear" w:color="auto" w:fill="FFFFFF"/>
          <w:lang w:val="en-US"/>
        </w:rPr>
        <w:t>137</w:t>
      </w:r>
      <w:r w:rsidRPr="000C489F">
        <w:rPr>
          <w:rFonts w:ascii="Arial" w:hAnsi="Arial" w:cs="Arial"/>
          <w:color w:val="000000"/>
          <w:sz w:val="24"/>
          <w:szCs w:val="24"/>
          <w:shd w:val="clear" w:color="auto" w:fill="FFFFFF"/>
          <w:lang w:val="en-US"/>
        </w:rPr>
        <w:t>(2), 251–269.</w:t>
      </w:r>
    </w:p>
    <w:p w:rsidR="00FF0340" w:rsidRDefault="00FF0340" w:rsidP="00FF0340">
      <w:pPr>
        <w:pStyle w:val="Textocomentario"/>
        <w:numPr>
          <w:ilvl w:val="0"/>
          <w:numId w:val="7"/>
        </w:numPr>
        <w:spacing w:after="0"/>
        <w:jc w:val="both"/>
        <w:rPr>
          <w:rFonts w:ascii="Arial" w:hAnsi="Arial" w:cs="Arial"/>
          <w:sz w:val="24"/>
          <w:szCs w:val="24"/>
        </w:rPr>
      </w:pPr>
      <w:r w:rsidRPr="000C489F">
        <w:rPr>
          <w:rFonts w:ascii="Arial" w:hAnsi="Arial" w:cs="Arial"/>
          <w:sz w:val="24"/>
          <w:szCs w:val="24"/>
        </w:rPr>
        <w:t>Grupo de Trabajo de GesEPOC. Guía de Práctica Clínica para el Diagnóstico y Tratamiento de Pacientes con Enfermedad Pulmonar Obstructiva Crónica (EPOC) - Guía Española de la EPOC (GesEPOC). Arch Bronconeumol. 2012; 48 (Supl 1):2-58.</w:t>
      </w:r>
    </w:p>
    <w:p w:rsidR="00FF0340" w:rsidRPr="00B54EFA" w:rsidRDefault="00FF0340" w:rsidP="00FF0340">
      <w:pPr>
        <w:pStyle w:val="Textocomentario"/>
        <w:numPr>
          <w:ilvl w:val="0"/>
          <w:numId w:val="7"/>
        </w:numPr>
        <w:spacing w:after="0"/>
        <w:jc w:val="both"/>
        <w:rPr>
          <w:rFonts w:ascii="Arial" w:hAnsi="Arial" w:cs="Arial"/>
          <w:sz w:val="24"/>
          <w:szCs w:val="24"/>
        </w:rPr>
      </w:pPr>
      <w:r w:rsidRPr="000C489F">
        <w:rPr>
          <w:rFonts w:ascii="Arial" w:eastAsia="GulliverRM" w:hAnsi="Arial" w:cs="Arial"/>
          <w:sz w:val="24"/>
          <w:szCs w:val="24"/>
        </w:rPr>
        <w:t xml:space="preserve">Silva R, Oyarzun M y Olloquequi J. Mecanismos patogénicos en la enfermedad pulmonar obstructiva crónica causada por exposición a humo de biomasa. Arch Bronconeumol. 2015; </w:t>
      </w:r>
      <w:r w:rsidRPr="000C489F">
        <w:rPr>
          <w:rFonts w:ascii="Arial" w:eastAsia="GulliverRM" w:hAnsi="Arial" w:cs="Arial"/>
          <w:bCs/>
          <w:sz w:val="24"/>
          <w:szCs w:val="24"/>
        </w:rPr>
        <w:t>51 (6)</w:t>
      </w:r>
      <w:r w:rsidRPr="000C489F">
        <w:rPr>
          <w:rFonts w:ascii="Arial" w:eastAsia="GulliverRM" w:hAnsi="Arial" w:cs="Arial"/>
          <w:sz w:val="24"/>
          <w:szCs w:val="24"/>
        </w:rPr>
        <w:t>:285–292.</w:t>
      </w:r>
    </w:p>
    <w:p w:rsidR="00FF0340" w:rsidRPr="007E0E52" w:rsidRDefault="00FF0340" w:rsidP="00FF0340">
      <w:pPr>
        <w:pStyle w:val="Textocomentario"/>
        <w:numPr>
          <w:ilvl w:val="0"/>
          <w:numId w:val="7"/>
        </w:numPr>
        <w:spacing w:after="0"/>
        <w:jc w:val="both"/>
        <w:rPr>
          <w:rFonts w:ascii="Arial" w:hAnsi="Arial" w:cs="Arial"/>
          <w:sz w:val="24"/>
          <w:szCs w:val="24"/>
        </w:rPr>
      </w:pPr>
      <w:r w:rsidRPr="004D6A4F">
        <w:rPr>
          <w:rFonts w:ascii="Arial" w:hAnsi="Arial" w:cs="Arial"/>
          <w:sz w:val="24"/>
          <w:szCs w:val="24"/>
        </w:rPr>
        <w:t>Cid H P, Merino E JM, Stiepovich B J. Factores biológicos y psicosociales predictores del estilo de vida promotor de salud. Rev Méd Chile 2006; 134: 1491-1499.</w:t>
      </w:r>
    </w:p>
    <w:p w:rsidR="00FF0340" w:rsidRPr="007E0E52" w:rsidRDefault="00FF0340" w:rsidP="00FF0340">
      <w:pPr>
        <w:pStyle w:val="Textocomentario"/>
        <w:numPr>
          <w:ilvl w:val="0"/>
          <w:numId w:val="7"/>
        </w:numPr>
        <w:spacing w:after="0"/>
        <w:jc w:val="both"/>
        <w:rPr>
          <w:rFonts w:ascii="Arial" w:hAnsi="Arial" w:cs="Arial"/>
          <w:sz w:val="24"/>
          <w:szCs w:val="24"/>
        </w:rPr>
      </w:pPr>
      <w:r w:rsidRPr="004D6A4F">
        <w:rPr>
          <w:rFonts w:ascii="Arial" w:hAnsi="Arial" w:cs="Arial"/>
          <w:color w:val="000000"/>
          <w:sz w:val="24"/>
          <w:szCs w:val="24"/>
        </w:rPr>
        <w:t>Vidal-Gutiérrez D, Chamblas García-I, Zavala- Gutiérrez M, Müller-Gilchrist R, Rodríguez-Torres MC, Chávez-Montecino A. D</w:t>
      </w:r>
      <w:r>
        <w:rPr>
          <w:rFonts w:ascii="Arial" w:hAnsi="Arial" w:cs="Arial"/>
          <w:color w:val="000000"/>
          <w:sz w:val="24"/>
          <w:szCs w:val="24"/>
        </w:rPr>
        <w:t xml:space="preserve">eterminantes Sociales en Salud </w:t>
      </w:r>
      <w:r w:rsidRPr="007E0E52">
        <w:rPr>
          <w:rFonts w:ascii="Arial" w:hAnsi="Arial" w:cs="Arial"/>
          <w:sz w:val="24"/>
          <w:szCs w:val="24"/>
        </w:rPr>
        <w:t>y Estilos de Vida en población adulta de Concepción, Chile. Ciencia y Enfermería XX (1): 61-74, 2014.</w:t>
      </w:r>
    </w:p>
    <w:p w:rsidR="00FF0340" w:rsidRPr="007E0E52" w:rsidRDefault="00FF0340" w:rsidP="00FF0340">
      <w:pPr>
        <w:pStyle w:val="Textocomentario"/>
        <w:numPr>
          <w:ilvl w:val="0"/>
          <w:numId w:val="7"/>
        </w:numPr>
        <w:spacing w:after="0"/>
        <w:jc w:val="both"/>
        <w:rPr>
          <w:rFonts w:ascii="Arial" w:hAnsi="Arial" w:cs="Arial"/>
          <w:sz w:val="24"/>
          <w:szCs w:val="24"/>
        </w:rPr>
      </w:pPr>
      <w:r w:rsidRPr="007E0E52">
        <w:rPr>
          <w:rFonts w:ascii="Arial" w:hAnsi="Arial" w:cs="Arial"/>
          <w:sz w:val="24"/>
          <w:szCs w:val="24"/>
          <w:lang w:val="en-US"/>
        </w:rPr>
        <w:t xml:space="preserve">Polatli M, Bilgin C, Şaylan B, Başlilar S, Toprak E, Ergen H, et al. </w:t>
      </w:r>
      <w:r w:rsidRPr="007E0E52">
        <w:rPr>
          <w:rFonts w:ascii="Arial" w:hAnsi="Arial" w:cs="Arial"/>
          <w:bCs/>
          <w:sz w:val="24"/>
          <w:szCs w:val="24"/>
          <w:lang w:val="en-US"/>
        </w:rPr>
        <w:t xml:space="preserve">A cross sectional observational study on the influence of chronic obstructive pulmonary disease on activities of daily living: the COPD-Life study. </w:t>
      </w:r>
      <w:r w:rsidRPr="007E0E52">
        <w:rPr>
          <w:rFonts w:ascii="Arial" w:hAnsi="Arial" w:cs="Arial"/>
          <w:sz w:val="24"/>
          <w:szCs w:val="24"/>
        </w:rPr>
        <w:t>Tuberk Toraks 2012; 60(1): 1-12.</w:t>
      </w:r>
    </w:p>
    <w:p w:rsidR="00FF0340" w:rsidRPr="007E0E52" w:rsidRDefault="00FF0340" w:rsidP="00FF0340">
      <w:pPr>
        <w:pStyle w:val="Textocomentario"/>
        <w:numPr>
          <w:ilvl w:val="0"/>
          <w:numId w:val="7"/>
        </w:numPr>
        <w:spacing w:after="0"/>
        <w:jc w:val="both"/>
        <w:rPr>
          <w:rFonts w:ascii="Arial" w:hAnsi="Arial" w:cs="Arial"/>
          <w:sz w:val="24"/>
          <w:szCs w:val="24"/>
        </w:rPr>
      </w:pPr>
      <w:r w:rsidRPr="007E0E52">
        <w:rPr>
          <w:rFonts w:ascii="Arial" w:hAnsi="Arial" w:cs="Arial"/>
          <w:sz w:val="24"/>
          <w:szCs w:val="24"/>
        </w:rPr>
        <w:t xml:space="preserve">Vilaróa J, Gimenoa E, Sánchez-Féreza N, Hernando C, Díaza I, Ferrerc M. </w:t>
      </w:r>
      <w:r w:rsidRPr="007E0E52">
        <w:rPr>
          <w:rFonts w:ascii="Arial" w:hAnsi="Arial" w:cs="Arial"/>
          <w:bCs/>
          <w:sz w:val="24"/>
          <w:szCs w:val="24"/>
        </w:rPr>
        <w:t xml:space="preserve">Actividades de la vida diaria en pacientes con enfermedad pulmonar obstructiva crónica: validación de la traducción española y análisis comparativo de 2 cuestionarios. </w:t>
      </w:r>
      <w:r w:rsidRPr="007E0E52">
        <w:rPr>
          <w:rFonts w:ascii="Arial" w:hAnsi="Arial" w:cs="Arial"/>
          <w:sz w:val="24"/>
          <w:szCs w:val="24"/>
        </w:rPr>
        <w:t>Med Clin (Barc). 2007; 129 (9):326-32.</w:t>
      </w:r>
    </w:p>
    <w:p w:rsidR="00FF0340" w:rsidRPr="0055487E" w:rsidRDefault="00FF0340" w:rsidP="00FF0340">
      <w:pPr>
        <w:pStyle w:val="Prrafodelista"/>
        <w:autoSpaceDE w:val="0"/>
        <w:autoSpaceDN w:val="0"/>
        <w:adjustRightInd w:val="0"/>
        <w:spacing w:after="0" w:line="240" w:lineRule="auto"/>
        <w:ind w:left="360"/>
        <w:jc w:val="both"/>
        <w:rPr>
          <w:rFonts w:ascii="Arial" w:hAnsi="Arial" w:cs="Arial"/>
          <w:sz w:val="24"/>
          <w:szCs w:val="24"/>
          <w:lang w:val="en-US"/>
        </w:rPr>
      </w:pPr>
    </w:p>
    <w:p w:rsidR="00FF0340" w:rsidRDefault="00FF0340" w:rsidP="00FF0340">
      <w:pPr>
        <w:jc w:val="both"/>
        <w:rPr>
          <w:rFonts w:ascii="Arial" w:hAnsi="Arial" w:cs="Arial"/>
          <w:noProof/>
          <w:sz w:val="24"/>
          <w:szCs w:val="24"/>
          <w:lang w:eastAsia="es-CO"/>
        </w:rPr>
      </w:pPr>
      <w:r>
        <w:rPr>
          <w:rFonts w:ascii="Arial" w:hAnsi="Arial" w:cs="Arial"/>
          <w:noProof/>
          <w:sz w:val="24"/>
          <w:szCs w:val="24"/>
          <w:lang w:eastAsia="es-CO"/>
        </w:rPr>
        <w:t xml:space="preserve"> </w:t>
      </w:r>
    </w:p>
    <w:p w:rsidR="00FF0340" w:rsidRDefault="00FF0340" w:rsidP="00FF0340">
      <w:pPr>
        <w:jc w:val="both"/>
        <w:rPr>
          <w:rFonts w:ascii="Arial" w:hAnsi="Arial" w:cs="Arial"/>
          <w:noProof/>
          <w:sz w:val="24"/>
          <w:szCs w:val="24"/>
          <w:lang w:eastAsia="es-CO"/>
        </w:rPr>
      </w:pPr>
    </w:p>
    <w:p w:rsidR="00FF0340" w:rsidRDefault="00FF0340" w:rsidP="00FF0340">
      <w:pPr>
        <w:jc w:val="both"/>
        <w:rPr>
          <w:rFonts w:ascii="Arial" w:hAnsi="Arial" w:cs="Arial"/>
          <w:noProof/>
          <w:sz w:val="24"/>
          <w:szCs w:val="24"/>
          <w:lang w:eastAsia="es-CO"/>
        </w:rPr>
      </w:pPr>
    </w:p>
    <w:p w:rsidR="00FF0340" w:rsidRPr="00D15F8B" w:rsidRDefault="00FF0340" w:rsidP="00FF0340">
      <w:pPr>
        <w:jc w:val="center"/>
        <w:rPr>
          <w:rFonts w:ascii="Arial" w:hAnsi="Arial" w:cs="Arial"/>
          <w:noProof/>
          <w:sz w:val="24"/>
          <w:szCs w:val="24"/>
          <w:lang w:eastAsia="es-CO"/>
        </w:rPr>
      </w:pPr>
    </w:p>
    <w:p w:rsidR="00FF0340" w:rsidRPr="00377EE2" w:rsidRDefault="00FF0340" w:rsidP="00FF0340">
      <w:pPr>
        <w:spacing w:line="480" w:lineRule="auto"/>
        <w:rPr>
          <w:rFonts w:ascii="Times New Roman" w:hAnsi="Times New Roman" w:cs="Times New Roman"/>
          <w:b/>
          <w:sz w:val="24"/>
          <w:szCs w:val="24"/>
        </w:rPr>
      </w:pPr>
    </w:p>
    <w:p w:rsidR="00A4295B" w:rsidRDefault="00A4295B"/>
    <w:sectPr w:rsidR="00A4295B" w:rsidSect="00806DF3">
      <w:pgSz w:w="12240" w:h="15840"/>
      <w:pgMar w:top="1418" w:right="132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F69" w:rsidRDefault="00407F69" w:rsidP="00FD0897">
      <w:pPr>
        <w:spacing w:after="0" w:line="240" w:lineRule="auto"/>
      </w:pPr>
      <w:r>
        <w:separator/>
      </w:r>
    </w:p>
  </w:endnote>
  <w:endnote w:type="continuationSeparator" w:id="0">
    <w:p w:rsidR="00407F69" w:rsidRDefault="00407F69" w:rsidP="00FD0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ellCentennialBT-Address">
    <w:altName w:val="MS Mincho"/>
    <w:panose1 w:val="00000000000000000000"/>
    <w:charset w:val="80"/>
    <w:family w:val="auto"/>
    <w:notTrueType/>
    <w:pitch w:val="default"/>
    <w:sig w:usb0="00000000" w:usb1="08070000" w:usb2="00000010" w:usb3="00000000" w:csb0="00020000" w:csb1="00000000"/>
  </w:font>
  <w:font w:name="GulliverRM">
    <w:altName w:val="Arial Unicode MS"/>
    <w:panose1 w:val="00000000000000000000"/>
    <w:charset w:val="81"/>
    <w:family w:val="auto"/>
    <w:notTrueType/>
    <w:pitch w:val="default"/>
    <w:sig w:usb0="00000001" w:usb1="09060000" w:usb2="00000010" w:usb3="00000000" w:csb0="00080000" w:csb1="00000000"/>
  </w:font>
  <w:font w:name="MaiolaPro">
    <w:altName w:val="MS Mincho"/>
    <w:panose1 w:val="00000000000000000000"/>
    <w:charset w:val="80"/>
    <w:family w:val="roman"/>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F69" w:rsidRDefault="00407F69" w:rsidP="00FD0897">
      <w:pPr>
        <w:spacing w:after="0" w:line="240" w:lineRule="auto"/>
      </w:pPr>
      <w:r>
        <w:separator/>
      </w:r>
    </w:p>
  </w:footnote>
  <w:footnote w:type="continuationSeparator" w:id="0">
    <w:p w:rsidR="00407F69" w:rsidRDefault="00407F69" w:rsidP="00FD08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0880"/>
    <w:multiLevelType w:val="hybridMultilevel"/>
    <w:tmpl w:val="6FDE02BC"/>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AB9003D"/>
    <w:multiLevelType w:val="hybridMultilevel"/>
    <w:tmpl w:val="5A2235B6"/>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2D4E3EFD"/>
    <w:multiLevelType w:val="hybridMultilevel"/>
    <w:tmpl w:val="2E34E4C0"/>
    <w:lvl w:ilvl="0" w:tplc="3078D5C2">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1C85E7F"/>
    <w:multiLevelType w:val="hybridMultilevel"/>
    <w:tmpl w:val="A13AC2CC"/>
    <w:lvl w:ilvl="0" w:tplc="C17E9DEA">
      <w:start w:val="1"/>
      <w:numFmt w:val="decimal"/>
      <w:lvlText w:val="%1."/>
      <w:lvlJc w:val="left"/>
      <w:pPr>
        <w:ind w:left="360" w:hanging="360"/>
      </w:pPr>
      <w:rPr>
        <w:rFonts w:ascii="Arial" w:hAnsi="Arial" w:cs="Arial" w:hint="default"/>
        <w:b/>
      </w:r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4">
    <w:nsid w:val="459C24F8"/>
    <w:multiLevelType w:val="hybridMultilevel"/>
    <w:tmpl w:val="DB68AC30"/>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67A56085"/>
    <w:multiLevelType w:val="hybridMultilevel"/>
    <w:tmpl w:val="D7E85664"/>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83345F4"/>
    <w:multiLevelType w:val="hybridMultilevel"/>
    <w:tmpl w:val="DD2EBDEC"/>
    <w:lvl w:ilvl="0" w:tplc="E86ADE6E">
      <w:start w:val="1"/>
      <w:numFmt w:val="bullet"/>
      <w:lvlText w:val=""/>
      <w:lvlJc w:val="left"/>
      <w:pPr>
        <w:ind w:left="108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340"/>
    <w:rsid w:val="00006A32"/>
    <w:rsid w:val="00016373"/>
    <w:rsid w:val="00023685"/>
    <w:rsid w:val="00024FBD"/>
    <w:rsid w:val="0002615E"/>
    <w:rsid w:val="00030320"/>
    <w:rsid w:val="000324C0"/>
    <w:rsid w:val="00032518"/>
    <w:rsid w:val="00033BD3"/>
    <w:rsid w:val="00045A71"/>
    <w:rsid w:val="00047D57"/>
    <w:rsid w:val="00050626"/>
    <w:rsid w:val="0005119D"/>
    <w:rsid w:val="000568C3"/>
    <w:rsid w:val="0006251D"/>
    <w:rsid w:val="0006750A"/>
    <w:rsid w:val="00076C3B"/>
    <w:rsid w:val="0008428B"/>
    <w:rsid w:val="00092E09"/>
    <w:rsid w:val="000B01EF"/>
    <w:rsid w:val="000B38AB"/>
    <w:rsid w:val="000B62D6"/>
    <w:rsid w:val="000C6413"/>
    <w:rsid w:val="000D3437"/>
    <w:rsid w:val="000E61CD"/>
    <w:rsid w:val="000E7805"/>
    <w:rsid w:val="000E7ACC"/>
    <w:rsid w:val="00107DC8"/>
    <w:rsid w:val="00117AD2"/>
    <w:rsid w:val="00121088"/>
    <w:rsid w:val="0014313D"/>
    <w:rsid w:val="00150982"/>
    <w:rsid w:val="001531BB"/>
    <w:rsid w:val="0015678F"/>
    <w:rsid w:val="00170FC2"/>
    <w:rsid w:val="001779B3"/>
    <w:rsid w:val="00184FB2"/>
    <w:rsid w:val="0019561C"/>
    <w:rsid w:val="001A1096"/>
    <w:rsid w:val="001A1658"/>
    <w:rsid w:val="001A30E5"/>
    <w:rsid w:val="001A3E8C"/>
    <w:rsid w:val="001A4F65"/>
    <w:rsid w:val="001A561F"/>
    <w:rsid w:val="001C24E2"/>
    <w:rsid w:val="001E3F0F"/>
    <w:rsid w:val="001E6D64"/>
    <w:rsid w:val="001F73DF"/>
    <w:rsid w:val="00204155"/>
    <w:rsid w:val="00210B89"/>
    <w:rsid w:val="00210EE2"/>
    <w:rsid w:val="00212CB3"/>
    <w:rsid w:val="00212E53"/>
    <w:rsid w:val="00213F30"/>
    <w:rsid w:val="002351AA"/>
    <w:rsid w:val="00255CC1"/>
    <w:rsid w:val="00265FE2"/>
    <w:rsid w:val="00270086"/>
    <w:rsid w:val="00277974"/>
    <w:rsid w:val="0028518A"/>
    <w:rsid w:val="00291FC4"/>
    <w:rsid w:val="00293F3B"/>
    <w:rsid w:val="002A0EAF"/>
    <w:rsid w:val="002A4668"/>
    <w:rsid w:val="002A57A7"/>
    <w:rsid w:val="002B05CC"/>
    <w:rsid w:val="002B3F44"/>
    <w:rsid w:val="002C704D"/>
    <w:rsid w:val="002D1D6F"/>
    <w:rsid w:val="00315906"/>
    <w:rsid w:val="00321F6C"/>
    <w:rsid w:val="0032571C"/>
    <w:rsid w:val="00327AD9"/>
    <w:rsid w:val="00340F91"/>
    <w:rsid w:val="00353564"/>
    <w:rsid w:val="003708E2"/>
    <w:rsid w:val="00373E21"/>
    <w:rsid w:val="0037404C"/>
    <w:rsid w:val="00383E47"/>
    <w:rsid w:val="003855EB"/>
    <w:rsid w:val="00390D92"/>
    <w:rsid w:val="00392DEB"/>
    <w:rsid w:val="003A0067"/>
    <w:rsid w:val="003A159B"/>
    <w:rsid w:val="003A7250"/>
    <w:rsid w:val="003B6127"/>
    <w:rsid w:val="003B6B83"/>
    <w:rsid w:val="003B7B3C"/>
    <w:rsid w:val="003D5CF6"/>
    <w:rsid w:val="0040168A"/>
    <w:rsid w:val="00402269"/>
    <w:rsid w:val="004025CE"/>
    <w:rsid w:val="00406934"/>
    <w:rsid w:val="00407F69"/>
    <w:rsid w:val="00412555"/>
    <w:rsid w:val="00433F5D"/>
    <w:rsid w:val="004419A2"/>
    <w:rsid w:val="0044653F"/>
    <w:rsid w:val="00447F8D"/>
    <w:rsid w:val="004535A5"/>
    <w:rsid w:val="00453F80"/>
    <w:rsid w:val="00464DFE"/>
    <w:rsid w:val="004C4D53"/>
    <w:rsid w:val="004D2E81"/>
    <w:rsid w:val="004E0B2D"/>
    <w:rsid w:val="00501C75"/>
    <w:rsid w:val="00511C02"/>
    <w:rsid w:val="00512526"/>
    <w:rsid w:val="0052667E"/>
    <w:rsid w:val="00527715"/>
    <w:rsid w:val="005361E4"/>
    <w:rsid w:val="005418A7"/>
    <w:rsid w:val="00550CF7"/>
    <w:rsid w:val="0056097E"/>
    <w:rsid w:val="005668C9"/>
    <w:rsid w:val="005756CC"/>
    <w:rsid w:val="0057707B"/>
    <w:rsid w:val="005A6F45"/>
    <w:rsid w:val="005C0D0F"/>
    <w:rsid w:val="005C584D"/>
    <w:rsid w:val="005C693D"/>
    <w:rsid w:val="005D09BD"/>
    <w:rsid w:val="005F2514"/>
    <w:rsid w:val="005F4484"/>
    <w:rsid w:val="005F51B7"/>
    <w:rsid w:val="00604300"/>
    <w:rsid w:val="006051FE"/>
    <w:rsid w:val="006068B9"/>
    <w:rsid w:val="0062432B"/>
    <w:rsid w:val="00627A08"/>
    <w:rsid w:val="00634FBA"/>
    <w:rsid w:val="00647C42"/>
    <w:rsid w:val="00653DBE"/>
    <w:rsid w:val="00657C64"/>
    <w:rsid w:val="00660C1A"/>
    <w:rsid w:val="006619C9"/>
    <w:rsid w:val="006644A8"/>
    <w:rsid w:val="006660BB"/>
    <w:rsid w:val="00676E14"/>
    <w:rsid w:val="00686E43"/>
    <w:rsid w:val="006942A4"/>
    <w:rsid w:val="006A2FC6"/>
    <w:rsid w:val="006A47E2"/>
    <w:rsid w:val="006D24FE"/>
    <w:rsid w:val="006D2B33"/>
    <w:rsid w:val="006E1C38"/>
    <w:rsid w:val="006F381F"/>
    <w:rsid w:val="00703896"/>
    <w:rsid w:val="00705E53"/>
    <w:rsid w:val="007156CD"/>
    <w:rsid w:val="0072106E"/>
    <w:rsid w:val="00725A00"/>
    <w:rsid w:val="007270D5"/>
    <w:rsid w:val="00734578"/>
    <w:rsid w:val="00735BD2"/>
    <w:rsid w:val="0074143C"/>
    <w:rsid w:val="00751D37"/>
    <w:rsid w:val="007555C1"/>
    <w:rsid w:val="007562A1"/>
    <w:rsid w:val="007671B0"/>
    <w:rsid w:val="0079135F"/>
    <w:rsid w:val="007A6D8F"/>
    <w:rsid w:val="007B4791"/>
    <w:rsid w:val="007B7F83"/>
    <w:rsid w:val="007D2E20"/>
    <w:rsid w:val="007F6019"/>
    <w:rsid w:val="007F7691"/>
    <w:rsid w:val="00802F63"/>
    <w:rsid w:val="00806DF3"/>
    <w:rsid w:val="00827D0D"/>
    <w:rsid w:val="00834DCA"/>
    <w:rsid w:val="00854678"/>
    <w:rsid w:val="00856A23"/>
    <w:rsid w:val="00866495"/>
    <w:rsid w:val="00867689"/>
    <w:rsid w:val="00873DF6"/>
    <w:rsid w:val="008A1273"/>
    <w:rsid w:val="008B7243"/>
    <w:rsid w:val="008C0180"/>
    <w:rsid w:val="008C5666"/>
    <w:rsid w:val="008D25CB"/>
    <w:rsid w:val="008D48FE"/>
    <w:rsid w:val="008F241C"/>
    <w:rsid w:val="00903532"/>
    <w:rsid w:val="00917CE8"/>
    <w:rsid w:val="00917F66"/>
    <w:rsid w:val="00920F44"/>
    <w:rsid w:val="00924578"/>
    <w:rsid w:val="00937DE6"/>
    <w:rsid w:val="00941E30"/>
    <w:rsid w:val="0095125B"/>
    <w:rsid w:val="00952889"/>
    <w:rsid w:val="00952DF2"/>
    <w:rsid w:val="009665E7"/>
    <w:rsid w:val="00971477"/>
    <w:rsid w:val="009A6BA1"/>
    <w:rsid w:val="009B2541"/>
    <w:rsid w:val="009B35F3"/>
    <w:rsid w:val="009B3C81"/>
    <w:rsid w:val="009B7A15"/>
    <w:rsid w:val="009C15CD"/>
    <w:rsid w:val="009C1CAB"/>
    <w:rsid w:val="009D1675"/>
    <w:rsid w:val="009D3053"/>
    <w:rsid w:val="009D3CED"/>
    <w:rsid w:val="009D56F2"/>
    <w:rsid w:val="009E255B"/>
    <w:rsid w:val="009E3B90"/>
    <w:rsid w:val="009E4FAB"/>
    <w:rsid w:val="009E5FE7"/>
    <w:rsid w:val="00A07684"/>
    <w:rsid w:val="00A077D0"/>
    <w:rsid w:val="00A237C5"/>
    <w:rsid w:val="00A30175"/>
    <w:rsid w:val="00A4295B"/>
    <w:rsid w:val="00A436E2"/>
    <w:rsid w:val="00A437FF"/>
    <w:rsid w:val="00A64B32"/>
    <w:rsid w:val="00A736FA"/>
    <w:rsid w:val="00A742EC"/>
    <w:rsid w:val="00A80754"/>
    <w:rsid w:val="00A83AD0"/>
    <w:rsid w:val="00A97309"/>
    <w:rsid w:val="00AA140E"/>
    <w:rsid w:val="00AA62C4"/>
    <w:rsid w:val="00AB09E1"/>
    <w:rsid w:val="00AD0E1D"/>
    <w:rsid w:val="00AE1672"/>
    <w:rsid w:val="00AF2258"/>
    <w:rsid w:val="00B00E33"/>
    <w:rsid w:val="00B02318"/>
    <w:rsid w:val="00B02A91"/>
    <w:rsid w:val="00B0514D"/>
    <w:rsid w:val="00B05EBC"/>
    <w:rsid w:val="00B262C7"/>
    <w:rsid w:val="00B3277C"/>
    <w:rsid w:val="00B44EA9"/>
    <w:rsid w:val="00B466B8"/>
    <w:rsid w:val="00B47062"/>
    <w:rsid w:val="00B52F76"/>
    <w:rsid w:val="00B539DF"/>
    <w:rsid w:val="00B57DFA"/>
    <w:rsid w:val="00B6048E"/>
    <w:rsid w:val="00B95465"/>
    <w:rsid w:val="00B95BE6"/>
    <w:rsid w:val="00BA064E"/>
    <w:rsid w:val="00BC398F"/>
    <w:rsid w:val="00BE235E"/>
    <w:rsid w:val="00C20B34"/>
    <w:rsid w:val="00C23330"/>
    <w:rsid w:val="00C26CF8"/>
    <w:rsid w:val="00C33FF0"/>
    <w:rsid w:val="00C372FC"/>
    <w:rsid w:val="00C60F36"/>
    <w:rsid w:val="00C67086"/>
    <w:rsid w:val="00C713B2"/>
    <w:rsid w:val="00C836D5"/>
    <w:rsid w:val="00C83A74"/>
    <w:rsid w:val="00C85E29"/>
    <w:rsid w:val="00C964E8"/>
    <w:rsid w:val="00CA545A"/>
    <w:rsid w:val="00CA6AB3"/>
    <w:rsid w:val="00CB7909"/>
    <w:rsid w:val="00CE59E0"/>
    <w:rsid w:val="00CE7615"/>
    <w:rsid w:val="00D109A6"/>
    <w:rsid w:val="00D22EE1"/>
    <w:rsid w:val="00D2608A"/>
    <w:rsid w:val="00D27E20"/>
    <w:rsid w:val="00D43434"/>
    <w:rsid w:val="00D4577C"/>
    <w:rsid w:val="00D51BB3"/>
    <w:rsid w:val="00D53507"/>
    <w:rsid w:val="00D65BC3"/>
    <w:rsid w:val="00D66DDA"/>
    <w:rsid w:val="00D80218"/>
    <w:rsid w:val="00D815F8"/>
    <w:rsid w:val="00D822B3"/>
    <w:rsid w:val="00DA199F"/>
    <w:rsid w:val="00DA2B43"/>
    <w:rsid w:val="00DA3449"/>
    <w:rsid w:val="00DB26D7"/>
    <w:rsid w:val="00DC2799"/>
    <w:rsid w:val="00DD4DA8"/>
    <w:rsid w:val="00DE7DA5"/>
    <w:rsid w:val="00DF0BF6"/>
    <w:rsid w:val="00DF1AD2"/>
    <w:rsid w:val="00DF2EAC"/>
    <w:rsid w:val="00E01750"/>
    <w:rsid w:val="00E076AA"/>
    <w:rsid w:val="00E1056D"/>
    <w:rsid w:val="00E16D6E"/>
    <w:rsid w:val="00E250B6"/>
    <w:rsid w:val="00E27161"/>
    <w:rsid w:val="00E331FC"/>
    <w:rsid w:val="00E43EF9"/>
    <w:rsid w:val="00E561F0"/>
    <w:rsid w:val="00E637D1"/>
    <w:rsid w:val="00E75965"/>
    <w:rsid w:val="00E76537"/>
    <w:rsid w:val="00E96FF0"/>
    <w:rsid w:val="00EA342F"/>
    <w:rsid w:val="00EA54EE"/>
    <w:rsid w:val="00EB1181"/>
    <w:rsid w:val="00EC42BE"/>
    <w:rsid w:val="00EC7449"/>
    <w:rsid w:val="00EE4F95"/>
    <w:rsid w:val="00EE50AA"/>
    <w:rsid w:val="00EE5D4D"/>
    <w:rsid w:val="00F10610"/>
    <w:rsid w:val="00F2146F"/>
    <w:rsid w:val="00F369A1"/>
    <w:rsid w:val="00F433A0"/>
    <w:rsid w:val="00F460E9"/>
    <w:rsid w:val="00F56177"/>
    <w:rsid w:val="00F61E0F"/>
    <w:rsid w:val="00F655D6"/>
    <w:rsid w:val="00F81419"/>
    <w:rsid w:val="00F85240"/>
    <w:rsid w:val="00F92512"/>
    <w:rsid w:val="00FB3CFC"/>
    <w:rsid w:val="00FB3D02"/>
    <w:rsid w:val="00FB7A93"/>
    <w:rsid w:val="00FC185A"/>
    <w:rsid w:val="00FC30EE"/>
    <w:rsid w:val="00FD0897"/>
    <w:rsid w:val="00FD75DF"/>
    <w:rsid w:val="00FF03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1417E-F187-456D-9212-5A7F051C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340"/>
  </w:style>
  <w:style w:type="paragraph" w:styleId="Ttulo3">
    <w:name w:val="heading 3"/>
    <w:basedOn w:val="Normal"/>
    <w:link w:val="Ttulo3Car"/>
    <w:uiPriority w:val="9"/>
    <w:qFormat/>
    <w:rsid w:val="00FF0340"/>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0340"/>
    <w:pPr>
      <w:ind w:left="720"/>
      <w:contextualSpacing/>
    </w:pPr>
  </w:style>
  <w:style w:type="character" w:styleId="Refdecomentario">
    <w:name w:val="annotation reference"/>
    <w:basedOn w:val="Fuentedeprrafopredeter"/>
    <w:uiPriority w:val="99"/>
    <w:semiHidden/>
    <w:unhideWhenUsed/>
    <w:rsid w:val="00FF0340"/>
    <w:rPr>
      <w:sz w:val="16"/>
      <w:szCs w:val="16"/>
    </w:rPr>
  </w:style>
  <w:style w:type="paragraph" w:styleId="Textocomentario">
    <w:name w:val="annotation text"/>
    <w:basedOn w:val="Normal"/>
    <w:link w:val="TextocomentarioCar"/>
    <w:uiPriority w:val="99"/>
    <w:unhideWhenUsed/>
    <w:rsid w:val="00FF0340"/>
    <w:pPr>
      <w:spacing w:line="240" w:lineRule="auto"/>
    </w:pPr>
    <w:rPr>
      <w:sz w:val="20"/>
      <w:szCs w:val="20"/>
    </w:rPr>
  </w:style>
  <w:style w:type="character" w:customStyle="1" w:styleId="TextocomentarioCar">
    <w:name w:val="Texto comentario Car"/>
    <w:basedOn w:val="Fuentedeprrafopredeter"/>
    <w:link w:val="Textocomentario"/>
    <w:uiPriority w:val="99"/>
    <w:rsid w:val="00FF0340"/>
    <w:rPr>
      <w:sz w:val="20"/>
      <w:szCs w:val="20"/>
    </w:rPr>
  </w:style>
  <w:style w:type="character" w:styleId="CitaHTML">
    <w:name w:val="HTML Cite"/>
    <w:uiPriority w:val="99"/>
    <w:unhideWhenUsed/>
    <w:rsid w:val="00FF0340"/>
    <w:rPr>
      <w:i/>
      <w:iCs/>
    </w:rPr>
  </w:style>
  <w:style w:type="character" w:customStyle="1" w:styleId="apple-converted-space">
    <w:name w:val="apple-converted-space"/>
    <w:basedOn w:val="Fuentedeprrafopredeter"/>
    <w:rsid w:val="00FF0340"/>
  </w:style>
  <w:style w:type="character" w:styleId="Hipervnculo">
    <w:name w:val="Hyperlink"/>
    <w:uiPriority w:val="99"/>
    <w:unhideWhenUsed/>
    <w:rsid w:val="00FF0340"/>
    <w:rPr>
      <w:color w:val="0000FF"/>
      <w:u w:val="single"/>
    </w:rPr>
  </w:style>
  <w:style w:type="paragraph" w:styleId="Textodeglobo">
    <w:name w:val="Balloon Text"/>
    <w:basedOn w:val="Normal"/>
    <w:link w:val="TextodegloboCar"/>
    <w:uiPriority w:val="99"/>
    <w:semiHidden/>
    <w:unhideWhenUsed/>
    <w:rsid w:val="00FF03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0340"/>
    <w:rPr>
      <w:rFonts w:ascii="Segoe UI" w:hAnsi="Segoe UI" w:cs="Segoe UI"/>
      <w:sz w:val="18"/>
      <w:szCs w:val="18"/>
    </w:rPr>
  </w:style>
  <w:style w:type="table" w:styleId="Tablaconcuadrcula">
    <w:name w:val="Table Grid"/>
    <w:basedOn w:val="Tablanormal"/>
    <w:uiPriority w:val="59"/>
    <w:rsid w:val="00FF0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F0340"/>
    <w:pPr>
      <w:autoSpaceDE w:val="0"/>
      <w:autoSpaceDN w:val="0"/>
      <w:adjustRightInd w:val="0"/>
      <w:spacing w:after="0" w:line="240" w:lineRule="auto"/>
    </w:pPr>
    <w:rPr>
      <w:rFonts w:ascii="Arial Unicode MS" w:eastAsia="Arial Unicode MS" w:cs="Arial Unicode MS"/>
      <w:color w:val="000000"/>
      <w:sz w:val="24"/>
      <w:szCs w:val="24"/>
    </w:rPr>
  </w:style>
  <w:style w:type="character" w:customStyle="1" w:styleId="Ttulo3Car">
    <w:name w:val="Título 3 Car"/>
    <w:basedOn w:val="Fuentedeprrafopredeter"/>
    <w:link w:val="Ttulo3"/>
    <w:uiPriority w:val="9"/>
    <w:rsid w:val="00FF0340"/>
    <w:rPr>
      <w:rFonts w:ascii="Times New Roman" w:eastAsia="Times New Roman" w:hAnsi="Times New Roman" w:cs="Times New Roman"/>
      <w:b/>
      <w:bCs/>
      <w:sz w:val="27"/>
      <w:szCs w:val="27"/>
      <w:lang w:eastAsia="es-CO"/>
    </w:rPr>
  </w:style>
  <w:style w:type="character" w:styleId="nfasis">
    <w:name w:val="Emphasis"/>
    <w:basedOn w:val="Fuentedeprrafopredeter"/>
    <w:uiPriority w:val="20"/>
    <w:qFormat/>
    <w:rsid w:val="00806DF3"/>
    <w:rPr>
      <w:i/>
      <w:iCs/>
    </w:rPr>
  </w:style>
  <w:style w:type="paragraph" w:styleId="Sinespaciado">
    <w:name w:val="No Spacing"/>
    <w:uiPriority w:val="1"/>
    <w:qFormat/>
    <w:rsid w:val="00C85E29"/>
    <w:pPr>
      <w:spacing w:after="0" w:line="240" w:lineRule="auto"/>
    </w:pPr>
  </w:style>
  <w:style w:type="paragraph" w:styleId="Encabezado">
    <w:name w:val="header"/>
    <w:basedOn w:val="Normal"/>
    <w:link w:val="EncabezadoCar"/>
    <w:uiPriority w:val="99"/>
    <w:unhideWhenUsed/>
    <w:rsid w:val="00FD08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0897"/>
  </w:style>
  <w:style w:type="paragraph" w:styleId="Piedepgina">
    <w:name w:val="footer"/>
    <w:basedOn w:val="Normal"/>
    <w:link w:val="PiedepginaCar"/>
    <w:uiPriority w:val="99"/>
    <w:unhideWhenUsed/>
    <w:rsid w:val="00FD08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0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45257">
      <w:bodyDiv w:val="1"/>
      <w:marLeft w:val="0"/>
      <w:marRight w:val="0"/>
      <w:marTop w:val="0"/>
      <w:marBottom w:val="0"/>
      <w:divBdr>
        <w:top w:val="none" w:sz="0" w:space="0" w:color="auto"/>
        <w:left w:val="none" w:sz="0" w:space="0" w:color="auto"/>
        <w:bottom w:val="none" w:sz="0" w:space="0" w:color="auto"/>
        <w:right w:val="none" w:sz="0" w:space="0" w:color="auto"/>
      </w:divBdr>
    </w:div>
    <w:div w:id="541475473">
      <w:bodyDiv w:val="1"/>
      <w:marLeft w:val="0"/>
      <w:marRight w:val="0"/>
      <w:marTop w:val="0"/>
      <w:marBottom w:val="0"/>
      <w:divBdr>
        <w:top w:val="none" w:sz="0" w:space="0" w:color="auto"/>
        <w:left w:val="none" w:sz="0" w:space="0" w:color="auto"/>
        <w:bottom w:val="none" w:sz="0" w:space="0" w:color="auto"/>
        <w:right w:val="none" w:sz="0" w:space="0" w:color="auto"/>
      </w:divBdr>
      <w:divsChild>
        <w:div w:id="734743641">
          <w:marLeft w:val="0"/>
          <w:marRight w:val="0"/>
          <w:marTop w:val="0"/>
          <w:marBottom w:val="0"/>
          <w:divBdr>
            <w:top w:val="none" w:sz="0" w:space="0" w:color="auto"/>
            <w:left w:val="none" w:sz="0" w:space="0" w:color="auto"/>
            <w:bottom w:val="none" w:sz="0" w:space="0" w:color="auto"/>
            <w:right w:val="none" w:sz="0" w:space="0" w:color="auto"/>
          </w:divBdr>
        </w:div>
        <w:div w:id="135344372">
          <w:marLeft w:val="0"/>
          <w:marRight w:val="0"/>
          <w:marTop w:val="0"/>
          <w:marBottom w:val="0"/>
          <w:divBdr>
            <w:top w:val="none" w:sz="0" w:space="0" w:color="auto"/>
            <w:left w:val="none" w:sz="0" w:space="0" w:color="auto"/>
            <w:bottom w:val="none" w:sz="0" w:space="0" w:color="auto"/>
            <w:right w:val="none" w:sz="0" w:space="0" w:color="auto"/>
          </w:divBdr>
        </w:div>
        <w:div w:id="577250658">
          <w:marLeft w:val="0"/>
          <w:marRight w:val="0"/>
          <w:marTop w:val="0"/>
          <w:marBottom w:val="0"/>
          <w:divBdr>
            <w:top w:val="none" w:sz="0" w:space="0" w:color="auto"/>
            <w:left w:val="none" w:sz="0" w:space="0" w:color="auto"/>
            <w:bottom w:val="none" w:sz="0" w:space="0" w:color="auto"/>
            <w:right w:val="none" w:sz="0" w:space="0" w:color="auto"/>
          </w:divBdr>
        </w:div>
        <w:div w:id="1118140553">
          <w:marLeft w:val="0"/>
          <w:marRight w:val="0"/>
          <w:marTop w:val="0"/>
          <w:marBottom w:val="0"/>
          <w:divBdr>
            <w:top w:val="none" w:sz="0" w:space="0" w:color="auto"/>
            <w:left w:val="none" w:sz="0" w:space="0" w:color="auto"/>
            <w:bottom w:val="none" w:sz="0" w:space="0" w:color="auto"/>
            <w:right w:val="none" w:sz="0" w:space="0" w:color="auto"/>
          </w:divBdr>
        </w:div>
        <w:div w:id="1445080272">
          <w:marLeft w:val="0"/>
          <w:marRight w:val="0"/>
          <w:marTop w:val="0"/>
          <w:marBottom w:val="0"/>
          <w:divBdr>
            <w:top w:val="none" w:sz="0" w:space="0" w:color="auto"/>
            <w:left w:val="none" w:sz="0" w:space="0" w:color="auto"/>
            <w:bottom w:val="none" w:sz="0" w:space="0" w:color="auto"/>
            <w:right w:val="none" w:sz="0" w:space="0" w:color="auto"/>
          </w:divBdr>
        </w:div>
        <w:div w:id="1137525588">
          <w:marLeft w:val="0"/>
          <w:marRight w:val="0"/>
          <w:marTop w:val="0"/>
          <w:marBottom w:val="0"/>
          <w:divBdr>
            <w:top w:val="none" w:sz="0" w:space="0" w:color="auto"/>
            <w:left w:val="none" w:sz="0" w:space="0" w:color="auto"/>
            <w:bottom w:val="none" w:sz="0" w:space="0" w:color="auto"/>
            <w:right w:val="none" w:sz="0" w:space="0" w:color="auto"/>
          </w:divBdr>
        </w:div>
        <w:div w:id="252668490">
          <w:marLeft w:val="0"/>
          <w:marRight w:val="0"/>
          <w:marTop w:val="0"/>
          <w:marBottom w:val="0"/>
          <w:divBdr>
            <w:top w:val="none" w:sz="0" w:space="0" w:color="auto"/>
            <w:left w:val="none" w:sz="0" w:space="0" w:color="auto"/>
            <w:bottom w:val="none" w:sz="0" w:space="0" w:color="auto"/>
            <w:right w:val="none" w:sz="0" w:space="0" w:color="auto"/>
          </w:divBdr>
        </w:div>
        <w:div w:id="767309232">
          <w:marLeft w:val="0"/>
          <w:marRight w:val="0"/>
          <w:marTop w:val="0"/>
          <w:marBottom w:val="0"/>
          <w:divBdr>
            <w:top w:val="none" w:sz="0" w:space="0" w:color="auto"/>
            <w:left w:val="none" w:sz="0" w:space="0" w:color="auto"/>
            <w:bottom w:val="none" w:sz="0" w:space="0" w:color="auto"/>
            <w:right w:val="none" w:sz="0" w:space="0" w:color="auto"/>
          </w:divBdr>
        </w:div>
        <w:div w:id="801967809">
          <w:marLeft w:val="0"/>
          <w:marRight w:val="0"/>
          <w:marTop w:val="0"/>
          <w:marBottom w:val="0"/>
          <w:divBdr>
            <w:top w:val="none" w:sz="0" w:space="0" w:color="auto"/>
            <w:left w:val="none" w:sz="0" w:space="0" w:color="auto"/>
            <w:bottom w:val="none" w:sz="0" w:space="0" w:color="auto"/>
            <w:right w:val="none" w:sz="0" w:space="0" w:color="auto"/>
          </w:divBdr>
        </w:div>
        <w:div w:id="188951004">
          <w:marLeft w:val="0"/>
          <w:marRight w:val="0"/>
          <w:marTop w:val="0"/>
          <w:marBottom w:val="0"/>
          <w:divBdr>
            <w:top w:val="none" w:sz="0" w:space="0" w:color="auto"/>
            <w:left w:val="none" w:sz="0" w:space="0" w:color="auto"/>
            <w:bottom w:val="none" w:sz="0" w:space="0" w:color="auto"/>
            <w:right w:val="none" w:sz="0" w:space="0" w:color="auto"/>
          </w:divBdr>
        </w:div>
        <w:div w:id="1998805033">
          <w:marLeft w:val="0"/>
          <w:marRight w:val="0"/>
          <w:marTop w:val="0"/>
          <w:marBottom w:val="0"/>
          <w:divBdr>
            <w:top w:val="none" w:sz="0" w:space="0" w:color="auto"/>
            <w:left w:val="none" w:sz="0" w:space="0" w:color="auto"/>
            <w:bottom w:val="none" w:sz="0" w:space="0" w:color="auto"/>
            <w:right w:val="none" w:sz="0" w:space="0" w:color="auto"/>
          </w:divBdr>
        </w:div>
        <w:div w:id="982779606">
          <w:marLeft w:val="0"/>
          <w:marRight w:val="0"/>
          <w:marTop w:val="0"/>
          <w:marBottom w:val="0"/>
          <w:divBdr>
            <w:top w:val="none" w:sz="0" w:space="0" w:color="auto"/>
            <w:left w:val="none" w:sz="0" w:space="0" w:color="auto"/>
            <w:bottom w:val="none" w:sz="0" w:space="0" w:color="auto"/>
            <w:right w:val="none" w:sz="0" w:space="0" w:color="auto"/>
          </w:divBdr>
        </w:div>
        <w:div w:id="919296308">
          <w:marLeft w:val="0"/>
          <w:marRight w:val="0"/>
          <w:marTop w:val="0"/>
          <w:marBottom w:val="0"/>
          <w:divBdr>
            <w:top w:val="none" w:sz="0" w:space="0" w:color="auto"/>
            <w:left w:val="none" w:sz="0" w:space="0" w:color="auto"/>
            <w:bottom w:val="none" w:sz="0" w:space="0" w:color="auto"/>
            <w:right w:val="none" w:sz="0" w:space="0" w:color="auto"/>
          </w:divBdr>
        </w:div>
        <w:div w:id="1328554242">
          <w:marLeft w:val="0"/>
          <w:marRight w:val="0"/>
          <w:marTop w:val="0"/>
          <w:marBottom w:val="0"/>
          <w:divBdr>
            <w:top w:val="none" w:sz="0" w:space="0" w:color="auto"/>
            <w:left w:val="none" w:sz="0" w:space="0" w:color="auto"/>
            <w:bottom w:val="none" w:sz="0" w:space="0" w:color="auto"/>
            <w:right w:val="none" w:sz="0" w:space="0" w:color="auto"/>
          </w:divBdr>
        </w:div>
        <w:div w:id="1382485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Demeyer%20H%5BAuthor%5D&amp;cauthor=true&amp;cauthor_uid=26530543" TargetMode="External"/><Relationship Id="rId3" Type="http://schemas.openxmlformats.org/officeDocument/2006/relationships/settings" Target="settings.xml"/><Relationship Id="rId7" Type="http://schemas.openxmlformats.org/officeDocument/2006/relationships/hyperlink" Target="http://www.ncbi.nlm.nih.gov/pubmed/?term=Hornikx%20M%5BAuthor%5D&amp;cauthor=true&amp;cauthor_uid=265305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cbi.nlm.nih.gov/pubmed/?term=Janssens%20W%5BAuthor%5D&amp;cauthor=true&amp;cauthor_uid=26530543" TargetMode="External"/><Relationship Id="rId4" Type="http://schemas.openxmlformats.org/officeDocument/2006/relationships/webSettings" Target="webSettings.xml"/><Relationship Id="rId9" Type="http://schemas.openxmlformats.org/officeDocument/2006/relationships/hyperlink" Target="http://www.ncbi.nlm.nih.gov/pubmed/?term=Camillo%20CA%5BAuthor%5D&amp;cauthor=true&amp;cauthor_uid=2653054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5488</Words>
  <Characters>30185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maria ramirez garcia</dc:creator>
  <cp:keywords/>
  <dc:description/>
  <cp:lastModifiedBy>Docentes Enfermeria 4</cp:lastModifiedBy>
  <cp:revision>7</cp:revision>
  <dcterms:created xsi:type="dcterms:W3CDTF">2017-08-08T17:21:00Z</dcterms:created>
  <dcterms:modified xsi:type="dcterms:W3CDTF">2017-08-11T17:11:00Z</dcterms:modified>
</cp:coreProperties>
</file>