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F7" w:rsidRDefault="006B16F7" w:rsidP="006B16F7">
      <w:pPr>
        <w:spacing w:line="480" w:lineRule="auto"/>
        <w:jc w:val="both"/>
        <w:rPr>
          <w:rFonts w:ascii="Arial" w:hAnsi="Arial" w:cs="Arial"/>
          <w:b/>
          <w:lang w:eastAsia="es-ES"/>
        </w:rPr>
      </w:pPr>
    </w:p>
    <w:p w:rsidR="006B16F7" w:rsidRPr="006B16F7" w:rsidRDefault="006B16F7" w:rsidP="006B16F7">
      <w:pPr>
        <w:spacing w:line="48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6B16F7">
        <w:rPr>
          <w:rFonts w:ascii="Arial" w:hAnsi="Arial" w:cs="Arial"/>
          <w:b/>
          <w:sz w:val="24"/>
          <w:szCs w:val="24"/>
          <w:lang w:eastAsia="es-ES"/>
        </w:rPr>
        <w:t>Tablas</w:t>
      </w:r>
    </w:p>
    <w:p w:rsidR="006B16F7" w:rsidRDefault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793"/>
      </w:tblGrid>
      <w:tr w:rsidR="006B16F7" w:rsidRPr="006B16F7" w:rsidTr="006B16F7">
        <w:trPr>
          <w:trHeight w:val="557"/>
        </w:trPr>
        <w:tc>
          <w:tcPr>
            <w:tcW w:w="6912" w:type="dxa"/>
            <w:gridSpan w:val="2"/>
            <w:shd w:val="clear" w:color="auto" w:fill="auto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6F7">
              <w:rPr>
                <w:rFonts w:ascii="Arial" w:hAnsi="Arial" w:cs="Arial"/>
                <w:b/>
                <w:sz w:val="24"/>
                <w:szCs w:val="24"/>
              </w:rPr>
              <w:t xml:space="preserve">Tabla 1. Características </w:t>
            </w:r>
            <w:proofErr w:type="spellStart"/>
            <w:r w:rsidRPr="006B16F7">
              <w:rPr>
                <w:rFonts w:ascii="Arial" w:hAnsi="Arial" w:cs="Arial"/>
                <w:b/>
                <w:sz w:val="24"/>
                <w:szCs w:val="24"/>
              </w:rPr>
              <w:t>sociodemográficas</w:t>
            </w:r>
            <w:proofErr w:type="spellEnd"/>
          </w:p>
        </w:tc>
      </w:tr>
      <w:tr w:rsidR="006B16F7" w:rsidRPr="006B16F7" w:rsidTr="006B16F7">
        <w:trPr>
          <w:trHeight w:val="709"/>
        </w:trPr>
        <w:tc>
          <w:tcPr>
            <w:tcW w:w="3119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Media      27 años  (DE ± 4,48)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Rango     22 – 47 años</w:t>
            </w:r>
          </w:p>
        </w:tc>
      </w:tr>
      <w:tr w:rsidR="006B16F7" w:rsidRPr="006B16F7" w:rsidTr="006B16F7">
        <w:trPr>
          <w:trHeight w:val="712"/>
        </w:trPr>
        <w:tc>
          <w:tcPr>
            <w:tcW w:w="3119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Sexo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6B16F7">
            <w:pPr>
              <w:tabs>
                <w:tab w:val="left" w:pos="1168"/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Hombre   14% (n=48)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Mujer       86% (n=294)</w:t>
            </w:r>
          </w:p>
        </w:tc>
      </w:tr>
      <w:tr w:rsidR="006B16F7" w:rsidRPr="006B16F7" w:rsidTr="006B16F7">
        <w:trPr>
          <w:trHeight w:val="712"/>
        </w:trPr>
        <w:tc>
          <w:tcPr>
            <w:tcW w:w="3119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Categoría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Residente EFYC      69% (n=238)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Especialista EFYC   31% (n=104)</w:t>
            </w:r>
          </w:p>
        </w:tc>
      </w:tr>
      <w:tr w:rsidR="006B16F7" w:rsidRPr="006B16F7" w:rsidTr="006B16F7">
        <w:trPr>
          <w:trHeight w:val="673"/>
        </w:trPr>
        <w:tc>
          <w:tcPr>
            <w:tcW w:w="3119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Año de residencia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R - 1   44% (134)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R - 2   56% (104)</w:t>
            </w:r>
          </w:p>
        </w:tc>
      </w:tr>
      <w:tr w:rsidR="006B16F7" w:rsidRPr="006B16F7" w:rsidTr="006B16F7">
        <w:trPr>
          <w:trHeight w:val="1396"/>
        </w:trPr>
        <w:tc>
          <w:tcPr>
            <w:tcW w:w="3119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Año de promoción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2011-2013    11% (n=38)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2012-2014    20% (n=70)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2013-2015    30% (n=104)</w:t>
            </w:r>
          </w:p>
          <w:p w:rsidR="006B16F7" w:rsidRPr="006B16F7" w:rsidRDefault="006B16F7" w:rsidP="006B16F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2014-2016    39% (n=130)</w:t>
            </w:r>
          </w:p>
        </w:tc>
      </w:tr>
    </w:tbl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Default="006B16F7" w:rsidP="006B16F7"/>
    <w:p w:rsidR="00FA6713" w:rsidRDefault="006B16F7" w:rsidP="006B16F7">
      <w:pPr>
        <w:tabs>
          <w:tab w:val="left" w:pos="1809"/>
        </w:tabs>
      </w:pPr>
      <w:r>
        <w:tab/>
      </w: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tbl>
      <w:tblPr>
        <w:tblpPr w:leftFromText="141" w:rightFromText="141" w:vertAnchor="text" w:horzAnchor="margin" w:tblpXSpec="center" w:tblpY="1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793"/>
      </w:tblGrid>
      <w:tr w:rsidR="006B16F7" w:rsidRPr="006B16F7" w:rsidTr="00732C8B">
        <w:trPr>
          <w:trHeight w:val="701"/>
        </w:trPr>
        <w:tc>
          <w:tcPr>
            <w:tcW w:w="6912" w:type="dxa"/>
            <w:gridSpan w:val="2"/>
            <w:shd w:val="clear" w:color="auto" w:fill="auto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6F7">
              <w:rPr>
                <w:rFonts w:ascii="Arial" w:hAnsi="Arial" w:cs="Arial"/>
                <w:b/>
                <w:sz w:val="24"/>
                <w:szCs w:val="24"/>
              </w:rPr>
              <w:t>Tabla 2.  Dificultad en la adquisición de competencias por los especialistas en Enfermería Familiar y Comunitaria</w:t>
            </w:r>
          </w:p>
        </w:tc>
      </w:tr>
      <w:tr w:rsidR="006B16F7" w:rsidRPr="006B16F7" w:rsidTr="00732C8B">
        <w:trPr>
          <w:trHeight w:val="41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Investigación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33% (n=19)</w:t>
            </w:r>
          </w:p>
        </w:tc>
      </w:tr>
      <w:tr w:rsidR="006B16F7" w:rsidRPr="006B16F7" w:rsidTr="00732C8B">
        <w:trPr>
          <w:trHeight w:val="418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Atención a la mujer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19% (n=11)</w:t>
            </w:r>
          </w:p>
        </w:tc>
      </w:tr>
      <w:tr w:rsidR="006B16F7" w:rsidRPr="006B16F7" w:rsidTr="00732C8B">
        <w:trPr>
          <w:trHeight w:val="410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Práctica avanzada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14%  (n=8)</w:t>
            </w:r>
          </w:p>
        </w:tc>
      </w:tr>
      <w:tr w:rsidR="006B16F7" w:rsidRPr="006B16F7" w:rsidTr="00732C8B">
        <w:trPr>
          <w:trHeight w:val="416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Actividades comunitarias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7% (n=4)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Atención a la infancia y adolescencia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4% (n=2)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No especifica ámbito competencial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23% (n=12)</w:t>
            </w:r>
          </w:p>
        </w:tc>
      </w:tr>
    </w:tbl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Default="006B16F7" w:rsidP="006B16F7">
      <w:pPr>
        <w:tabs>
          <w:tab w:val="left" w:pos="1809"/>
        </w:tabs>
      </w:pPr>
    </w:p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Default="006B16F7" w:rsidP="006B16F7"/>
    <w:p w:rsidR="006B16F7" w:rsidRDefault="006B16F7" w:rsidP="006B16F7">
      <w:pPr>
        <w:tabs>
          <w:tab w:val="left" w:pos="1452"/>
        </w:tabs>
      </w:pPr>
      <w:r>
        <w:tab/>
      </w: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tbl>
      <w:tblPr>
        <w:tblpPr w:leftFromText="141" w:rightFromText="141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793"/>
      </w:tblGrid>
      <w:tr w:rsidR="006B16F7" w:rsidRPr="006B16F7" w:rsidTr="00732C8B">
        <w:trPr>
          <w:trHeight w:val="701"/>
        </w:trPr>
        <w:tc>
          <w:tcPr>
            <w:tcW w:w="6912" w:type="dxa"/>
            <w:gridSpan w:val="2"/>
            <w:shd w:val="clear" w:color="auto" w:fill="auto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6F7">
              <w:rPr>
                <w:rFonts w:ascii="Arial" w:hAnsi="Arial" w:cs="Arial"/>
                <w:b/>
                <w:sz w:val="24"/>
                <w:szCs w:val="24"/>
              </w:rPr>
              <w:t>Tabla 3.  Dificultad en la adquisición de competencias por los residentes de Enfermería Familiar y Comunitaria</w:t>
            </w:r>
          </w:p>
        </w:tc>
      </w:tr>
      <w:tr w:rsidR="006B16F7" w:rsidRPr="006B16F7" w:rsidTr="00732C8B">
        <w:trPr>
          <w:trHeight w:val="41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No especifica ámbito competencial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44% (n=57)</w:t>
            </w:r>
          </w:p>
        </w:tc>
      </w:tr>
      <w:tr w:rsidR="006B16F7" w:rsidRPr="006B16F7" w:rsidTr="00732C8B">
        <w:trPr>
          <w:trHeight w:val="418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Atención a la mujer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9% (n=12)</w:t>
            </w:r>
          </w:p>
        </w:tc>
      </w:tr>
      <w:tr w:rsidR="006B16F7" w:rsidRPr="006B16F7" w:rsidTr="00732C8B">
        <w:trPr>
          <w:trHeight w:val="410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Atención a la infancia y adolescencia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9% (n=12)</w:t>
            </w:r>
          </w:p>
        </w:tc>
      </w:tr>
      <w:tr w:rsidR="006B16F7" w:rsidRPr="006B16F7" w:rsidTr="00732C8B">
        <w:trPr>
          <w:trHeight w:val="416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Docencia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9% (n=12)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Urgencias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9% (n=12)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Actividades comunitarias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6% (n=8)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Investigación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6% (n=8)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En la totalidad de los ámbitos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4% (n=5)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Práctica avanzada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3% (n=4)</w:t>
            </w:r>
          </w:p>
        </w:tc>
      </w:tr>
      <w:tr w:rsidR="006B16F7" w:rsidRPr="006B16F7" w:rsidTr="00732C8B">
        <w:trPr>
          <w:trHeight w:val="422"/>
        </w:trPr>
        <w:tc>
          <w:tcPr>
            <w:tcW w:w="3119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Atención Primaria</w:t>
            </w:r>
          </w:p>
        </w:tc>
        <w:tc>
          <w:tcPr>
            <w:tcW w:w="3793" w:type="dxa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F7">
              <w:rPr>
                <w:rFonts w:ascii="Arial" w:hAnsi="Arial" w:cs="Arial"/>
                <w:sz w:val="24"/>
                <w:szCs w:val="24"/>
              </w:rPr>
              <w:t>1% (n=1)</w:t>
            </w:r>
          </w:p>
        </w:tc>
      </w:tr>
    </w:tbl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Default="006B16F7" w:rsidP="006B16F7">
      <w:pPr>
        <w:tabs>
          <w:tab w:val="left" w:pos="1452"/>
        </w:tabs>
      </w:pPr>
    </w:p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Pr="006B16F7" w:rsidRDefault="006B16F7" w:rsidP="006B16F7"/>
    <w:p w:rsidR="006B16F7" w:rsidRDefault="006B16F7" w:rsidP="006B16F7"/>
    <w:p w:rsidR="006B16F7" w:rsidRDefault="006B16F7" w:rsidP="006B16F7">
      <w:pPr>
        <w:tabs>
          <w:tab w:val="left" w:pos="2339"/>
        </w:tabs>
      </w:pPr>
      <w:r>
        <w:tab/>
      </w: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p w:rsidR="006B16F7" w:rsidRDefault="006B16F7" w:rsidP="006B16F7">
      <w:pPr>
        <w:tabs>
          <w:tab w:val="left" w:pos="2339"/>
        </w:tabs>
      </w:pPr>
    </w:p>
    <w:tbl>
      <w:tblPr>
        <w:tblpPr w:leftFromText="141" w:rightFromText="141" w:vertAnchor="page" w:horzAnchor="margin" w:tblpY="352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897"/>
      </w:tblGrid>
      <w:tr w:rsidR="006B16F7" w:rsidRPr="006B16F7" w:rsidTr="00732C8B">
        <w:trPr>
          <w:trHeight w:val="565"/>
        </w:trPr>
        <w:tc>
          <w:tcPr>
            <w:tcW w:w="88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6F7" w:rsidRPr="006B16F7" w:rsidRDefault="006B16F7" w:rsidP="00732C8B">
            <w:pPr>
              <w:tabs>
                <w:tab w:val="center" w:pos="4252"/>
                <w:tab w:val="right" w:pos="8504"/>
              </w:tabs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6F7">
              <w:rPr>
                <w:rFonts w:ascii="Arial" w:hAnsi="Arial" w:cs="Arial"/>
                <w:b/>
                <w:sz w:val="24"/>
                <w:szCs w:val="24"/>
              </w:rPr>
              <w:t>Tabla 4. Aportación a la AP de los especialistas en EFYC</w:t>
            </w:r>
          </w:p>
        </w:tc>
      </w:tr>
      <w:tr w:rsidR="006B16F7" w:rsidRPr="006B16F7" w:rsidTr="00732C8B">
        <w:trPr>
          <w:trHeight w:val="6940"/>
        </w:trPr>
        <w:tc>
          <w:tcPr>
            <w:tcW w:w="88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B16F7" w:rsidRPr="006B16F7" w:rsidRDefault="006B16F7" w:rsidP="00732C8B">
            <w:pPr>
              <w:spacing w:before="240"/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6B1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 “La especialización implica una mejor formación del profesional y un profesional centrado en el ámbito de AP. Sin duda aportaría un salto cualitativo que repercute primero sobre los pacientes y sobre el propio sistema sanitario”.</w:t>
            </w:r>
          </w:p>
          <w:p w:rsidR="006B16F7" w:rsidRPr="006B16F7" w:rsidRDefault="006B16F7" w:rsidP="00732C8B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6B1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 “Una visión comunitaria orientada hacia la promoción de salud, dinamización en los accesos al sistema sanitario, capacitación de las personas en su proceso salud-enfermedad por lo que les dotaría de más autonomía, descentralizar la atención sanitaria de primer nivel y promover un cambio de actitud y mentalidad en la población”.</w:t>
            </w:r>
          </w:p>
          <w:p w:rsidR="006B16F7" w:rsidRPr="006B16F7" w:rsidRDefault="006B16F7" w:rsidP="00732C8B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6B1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 “La enfermera especialista adquiere unas competencias durante la residencia que la capacitan para garantizar una asistencia sanitaria integral y continuada a las personas, familia y comunidad con el objetivo de lograr un mayor nivel de salud a lo largo de toda su vida: desde el desarrollo infantil, adolescencia, adulto, jubilación y vejez, hasta el final de la vida”.</w:t>
            </w:r>
          </w:p>
          <w:p w:rsidR="006B16F7" w:rsidRPr="006B16F7" w:rsidRDefault="006B16F7" w:rsidP="00732C8B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6B1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 “Puede aportar cuidados especializados y basados en evidencia, conocimientos en investigación y capacidad para planificar y desarrollar programas de atención comunitaria, así como labores de vigilancia epidemiológica”.</w:t>
            </w:r>
          </w:p>
          <w:p w:rsidR="006B16F7" w:rsidRPr="006B16F7" w:rsidRDefault="006B16F7" w:rsidP="00732C8B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6B1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- “La sociedad actual presenta unas demandas en salud derivadas de circunstancias concretas: Factores demográficos y económicos, patologías prevalentes, tecnologías de la información, movimientos poblacionales, hábitos de salud, derechos del ciudadano, etc. La especialista en Enfermería Familiar y Comunitaria, a través de cuidados de calidad asegura un ejercicio profesional basado en los valores profesionales que la legitiman ante la sociedad, dando respuesta a las demandas de salud que se deriven de los factores antes citados”.</w:t>
            </w:r>
          </w:p>
        </w:tc>
      </w:tr>
    </w:tbl>
    <w:p w:rsidR="006B16F7" w:rsidRDefault="006B16F7" w:rsidP="006B16F7">
      <w:pPr>
        <w:tabs>
          <w:tab w:val="left" w:pos="2339"/>
        </w:tabs>
      </w:pPr>
    </w:p>
    <w:sectPr w:rsidR="006B16F7" w:rsidSect="00FA6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B16F7"/>
    <w:rsid w:val="0036739F"/>
    <w:rsid w:val="006B16F7"/>
    <w:rsid w:val="00787E93"/>
    <w:rsid w:val="00881D75"/>
    <w:rsid w:val="00AA2416"/>
    <w:rsid w:val="00AB74A8"/>
    <w:rsid w:val="00DE6365"/>
    <w:rsid w:val="00FA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2551</Characters>
  <Application>Microsoft Office Word</Application>
  <DocSecurity>0</DocSecurity>
  <Lines>21</Lines>
  <Paragraphs>6</Paragraphs>
  <ScaleCrop>false</ScaleCrop>
  <Company>Windows XP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2015-04-13T14:23:00Z</dcterms:created>
  <dcterms:modified xsi:type="dcterms:W3CDTF">2015-04-13T14:23:00Z</dcterms:modified>
</cp:coreProperties>
</file>