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6F7" w:rsidRDefault="006B16F7" w:rsidP="006B16F7">
      <w:pPr>
        <w:spacing w:line="480" w:lineRule="auto"/>
        <w:jc w:val="both"/>
        <w:rPr>
          <w:rFonts w:ascii="Arial" w:hAnsi="Arial" w:cs="Arial"/>
          <w:b/>
          <w:lang w:eastAsia="es-ES"/>
        </w:rPr>
      </w:pPr>
    </w:p>
    <w:p w:rsidR="006B16F7" w:rsidRPr="006B16F7" w:rsidRDefault="006B16F7" w:rsidP="006B16F7">
      <w:pPr>
        <w:spacing w:line="480" w:lineRule="auto"/>
        <w:jc w:val="both"/>
        <w:rPr>
          <w:rFonts w:ascii="Arial" w:hAnsi="Arial" w:cs="Arial"/>
          <w:b/>
          <w:sz w:val="24"/>
          <w:szCs w:val="24"/>
          <w:lang w:eastAsia="es-ES"/>
        </w:rPr>
      </w:pPr>
      <w:r w:rsidRPr="006B16F7">
        <w:rPr>
          <w:rFonts w:ascii="Arial" w:hAnsi="Arial" w:cs="Arial"/>
          <w:b/>
          <w:sz w:val="24"/>
          <w:szCs w:val="24"/>
          <w:lang w:eastAsia="es-ES"/>
        </w:rPr>
        <w:t>Tablas</w:t>
      </w:r>
    </w:p>
    <w:p w:rsidR="006B16F7" w:rsidRDefault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tbl>
      <w:tblPr>
        <w:tblpPr w:leftFromText="141" w:rightFromText="141" w:vertAnchor="text" w:horzAnchor="margin" w:tblpXSpec="center" w:tblpY="20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793"/>
      </w:tblGrid>
      <w:tr w:rsidR="006B16F7" w:rsidRPr="006B16F7" w:rsidTr="006B16F7">
        <w:trPr>
          <w:trHeight w:val="557"/>
        </w:trPr>
        <w:tc>
          <w:tcPr>
            <w:tcW w:w="6912" w:type="dxa"/>
            <w:gridSpan w:val="2"/>
            <w:shd w:val="clear" w:color="auto" w:fill="auto"/>
            <w:vAlign w:val="center"/>
          </w:tcPr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16F7">
              <w:rPr>
                <w:rFonts w:ascii="Arial" w:hAnsi="Arial" w:cs="Arial"/>
                <w:b/>
                <w:sz w:val="24"/>
                <w:szCs w:val="24"/>
              </w:rPr>
              <w:t xml:space="preserve">Tabla 1. Características </w:t>
            </w:r>
            <w:proofErr w:type="spellStart"/>
            <w:r w:rsidRPr="006B16F7">
              <w:rPr>
                <w:rFonts w:ascii="Arial" w:hAnsi="Arial" w:cs="Arial"/>
                <w:b/>
                <w:sz w:val="24"/>
                <w:szCs w:val="24"/>
              </w:rPr>
              <w:t>sociodemográficas</w:t>
            </w:r>
            <w:proofErr w:type="spellEnd"/>
          </w:p>
        </w:tc>
      </w:tr>
      <w:tr w:rsidR="006B16F7" w:rsidRPr="006B16F7" w:rsidTr="006B16F7">
        <w:trPr>
          <w:trHeight w:val="709"/>
        </w:trPr>
        <w:tc>
          <w:tcPr>
            <w:tcW w:w="3119" w:type="dxa"/>
            <w:vAlign w:val="center"/>
          </w:tcPr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Edad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Media      27 años  (DE ± 4,48)</w:t>
            </w:r>
          </w:p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Rango     22 – 47 años</w:t>
            </w:r>
          </w:p>
        </w:tc>
      </w:tr>
      <w:tr w:rsidR="006B16F7" w:rsidRPr="006B16F7" w:rsidTr="006B16F7">
        <w:trPr>
          <w:trHeight w:val="712"/>
        </w:trPr>
        <w:tc>
          <w:tcPr>
            <w:tcW w:w="3119" w:type="dxa"/>
            <w:vAlign w:val="center"/>
          </w:tcPr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Sexo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6B16F7">
            <w:pPr>
              <w:tabs>
                <w:tab w:val="left" w:pos="1168"/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Hombre   14% (n=48)</w:t>
            </w:r>
          </w:p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Mujer       86% (n=294)</w:t>
            </w:r>
          </w:p>
        </w:tc>
      </w:tr>
      <w:tr w:rsidR="006B16F7" w:rsidRPr="006B16F7" w:rsidTr="006B16F7">
        <w:trPr>
          <w:trHeight w:val="712"/>
        </w:trPr>
        <w:tc>
          <w:tcPr>
            <w:tcW w:w="3119" w:type="dxa"/>
            <w:vAlign w:val="center"/>
          </w:tcPr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Categoría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Residente EFYC      69% (n=238)</w:t>
            </w:r>
          </w:p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Especialista EFYC   31% (n=104)</w:t>
            </w:r>
          </w:p>
        </w:tc>
      </w:tr>
      <w:tr w:rsidR="006B16F7" w:rsidRPr="006B16F7" w:rsidTr="006B16F7">
        <w:trPr>
          <w:trHeight w:val="673"/>
        </w:trPr>
        <w:tc>
          <w:tcPr>
            <w:tcW w:w="3119" w:type="dxa"/>
            <w:vAlign w:val="center"/>
          </w:tcPr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Año de residencia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R - 1   44% (134)</w:t>
            </w:r>
          </w:p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R - 2   56% (104)</w:t>
            </w:r>
          </w:p>
        </w:tc>
      </w:tr>
      <w:tr w:rsidR="006B16F7" w:rsidRPr="006B16F7" w:rsidTr="006B16F7">
        <w:trPr>
          <w:trHeight w:val="1396"/>
        </w:trPr>
        <w:tc>
          <w:tcPr>
            <w:tcW w:w="3119" w:type="dxa"/>
            <w:vAlign w:val="center"/>
          </w:tcPr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Año de promoción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2011-2013    11% (n=38)</w:t>
            </w:r>
          </w:p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2012-2014    20% (n=70)</w:t>
            </w:r>
          </w:p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2013-2015    30% (n=104)</w:t>
            </w:r>
          </w:p>
          <w:p w:rsidR="006B16F7" w:rsidRPr="006B16F7" w:rsidRDefault="006B16F7" w:rsidP="006B16F7">
            <w:pPr>
              <w:tabs>
                <w:tab w:val="center" w:pos="4252"/>
                <w:tab w:val="right" w:pos="8504"/>
              </w:tabs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2014-2016    39% (n=130)</w:t>
            </w:r>
          </w:p>
        </w:tc>
      </w:tr>
    </w:tbl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Default="006B16F7" w:rsidP="006B16F7"/>
    <w:p w:rsidR="00FA6713" w:rsidRDefault="006B16F7" w:rsidP="006B16F7">
      <w:pPr>
        <w:tabs>
          <w:tab w:val="left" w:pos="1809"/>
        </w:tabs>
      </w:pPr>
      <w:r>
        <w:tab/>
      </w:r>
    </w:p>
    <w:p w:rsidR="006B16F7" w:rsidRDefault="006B16F7" w:rsidP="006B16F7">
      <w:pPr>
        <w:tabs>
          <w:tab w:val="left" w:pos="1809"/>
        </w:tabs>
      </w:pPr>
    </w:p>
    <w:p w:rsidR="006B16F7" w:rsidRDefault="006B16F7" w:rsidP="006B16F7">
      <w:pPr>
        <w:tabs>
          <w:tab w:val="left" w:pos="1809"/>
        </w:tabs>
      </w:pPr>
    </w:p>
    <w:p w:rsidR="006B16F7" w:rsidRDefault="006B16F7" w:rsidP="006B16F7">
      <w:pPr>
        <w:tabs>
          <w:tab w:val="left" w:pos="1809"/>
        </w:tabs>
      </w:pPr>
    </w:p>
    <w:tbl>
      <w:tblPr>
        <w:tblpPr w:leftFromText="141" w:rightFromText="141" w:vertAnchor="text" w:horzAnchor="margin" w:tblpXSpec="center" w:tblpY="176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793"/>
      </w:tblGrid>
      <w:tr w:rsidR="006B16F7" w:rsidRPr="006B16F7" w:rsidTr="00732C8B">
        <w:trPr>
          <w:trHeight w:val="701"/>
        </w:trPr>
        <w:tc>
          <w:tcPr>
            <w:tcW w:w="6912" w:type="dxa"/>
            <w:gridSpan w:val="2"/>
            <w:shd w:val="clear" w:color="auto" w:fill="auto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16F7">
              <w:rPr>
                <w:rFonts w:ascii="Arial" w:hAnsi="Arial" w:cs="Arial"/>
                <w:b/>
                <w:sz w:val="24"/>
                <w:szCs w:val="24"/>
              </w:rPr>
              <w:t>Tabla 2.  Dificultad en la adquisición de competencias por los especialistas en Enfermería Familiar y Comunitaria</w:t>
            </w:r>
          </w:p>
        </w:tc>
      </w:tr>
      <w:tr w:rsidR="006B16F7" w:rsidRPr="006B16F7" w:rsidTr="00732C8B">
        <w:trPr>
          <w:trHeight w:val="412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Investigación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33% (n=19)</w:t>
            </w:r>
          </w:p>
        </w:tc>
      </w:tr>
      <w:tr w:rsidR="006B16F7" w:rsidRPr="006B16F7" w:rsidTr="00732C8B">
        <w:trPr>
          <w:trHeight w:val="418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Atención a la mujer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19% (n=11)</w:t>
            </w:r>
          </w:p>
        </w:tc>
      </w:tr>
      <w:tr w:rsidR="006B16F7" w:rsidRPr="006B16F7" w:rsidTr="00732C8B">
        <w:trPr>
          <w:trHeight w:val="410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Práctica avanzada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14%  (n=8)</w:t>
            </w:r>
          </w:p>
        </w:tc>
      </w:tr>
      <w:tr w:rsidR="006B16F7" w:rsidRPr="006B16F7" w:rsidTr="00732C8B">
        <w:trPr>
          <w:trHeight w:val="416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Actividades comunitarias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7% (n=4)</w:t>
            </w:r>
          </w:p>
        </w:tc>
      </w:tr>
      <w:tr w:rsidR="006B16F7" w:rsidRPr="006B16F7" w:rsidTr="00732C8B">
        <w:trPr>
          <w:trHeight w:val="422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Atención a la infancia y adolescencia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4% (n=2)</w:t>
            </w:r>
          </w:p>
        </w:tc>
      </w:tr>
      <w:tr w:rsidR="006B16F7" w:rsidRPr="006B16F7" w:rsidTr="00732C8B">
        <w:trPr>
          <w:trHeight w:val="422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No especifica ámbito competencial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23% (n=12)</w:t>
            </w:r>
          </w:p>
        </w:tc>
      </w:tr>
    </w:tbl>
    <w:p w:rsidR="006B16F7" w:rsidRDefault="006B16F7" w:rsidP="006B16F7">
      <w:pPr>
        <w:tabs>
          <w:tab w:val="left" w:pos="1809"/>
        </w:tabs>
      </w:pPr>
    </w:p>
    <w:p w:rsidR="006B16F7" w:rsidRDefault="006B16F7" w:rsidP="006B16F7">
      <w:pPr>
        <w:tabs>
          <w:tab w:val="left" w:pos="1809"/>
        </w:tabs>
      </w:pPr>
    </w:p>
    <w:p w:rsidR="006B16F7" w:rsidRDefault="006B16F7" w:rsidP="006B16F7">
      <w:pPr>
        <w:tabs>
          <w:tab w:val="left" w:pos="1809"/>
        </w:tabs>
      </w:pPr>
    </w:p>
    <w:p w:rsidR="006B16F7" w:rsidRDefault="006B16F7" w:rsidP="006B16F7">
      <w:pPr>
        <w:tabs>
          <w:tab w:val="left" w:pos="1809"/>
        </w:tabs>
      </w:pPr>
    </w:p>
    <w:p w:rsidR="006B16F7" w:rsidRDefault="006B16F7" w:rsidP="006B16F7">
      <w:pPr>
        <w:tabs>
          <w:tab w:val="left" w:pos="1809"/>
        </w:tabs>
      </w:pPr>
    </w:p>
    <w:p w:rsidR="006B16F7" w:rsidRDefault="006B16F7" w:rsidP="006B16F7">
      <w:pPr>
        <w:tabs>
          <w:tab w:val="left" w:pos="1809"/>
        </w:tabs>
      </w:pPr>
    </w:p>
    <w:p w:rsidR="006B16F7" w:rsidRDefault="006B16F7" w:rsidP="006B16F7">
      <w:pPr>
        <w:tabs>
          <w:tab w:val="left" w:pos="1809"/>
        </w:tabs>
      </w:pPr>
    </w:p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Default="006B16F7" w:rsidP="006B16F7"/>
    <w:p w:rsidR="006B16F7" w:rsidRDefault="006B16F7" w:rsidP="006B16F7">
      <w:pPr>
        <w:tabs>
          <w:tab w:val="left" w:pos="1452"/>
        </w:tabs>
      </w:pPr>
      <w:r>
        <w:tab/>
      </w:r>
    </w:p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tbl>
      <w:tblPr>
        <w:tblpPr w:leftFromText="141" w:rightFromText="141" w:vertAnchor="text" w:horzAnchor="margin" w:tblpXSpec="center" w:tblpYSpec="cent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19"/>
        <w:gridCol w:w="3793"/>
      </w:tblGrid>
      <w:tr w:rsidR="006B16F7" w:rsidRPr="006B16F7" w:rsidTr="00732C8B">
        <w:trPr>
          <w:trHeight w:val="701"/>
        </w:trPr>
        <w:tc>
          <w:tcPr>
            <w:tcW w:w="6912" w:type="dxa"/>
            <w:gridSpan w:val="2"/>
            <w:shd w:val="clear" w:color="auto" w:fill="auto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16F7">
              <w:rPr>
                <w:rFonts w:ascii="Arial" w:hAnsi="Arial" w:cs="Arial"/>
                <w:b/>
                <w:sz w:val="24"/>
                <w:szCs w:val="24"/>
              </w:rPr>
              <w:t>Tabla 3.  Dificultad en la adquisición de competencias por los residentes de Enfermería Familiar y Comunitaria</w:t>
            </w:r>
          </w:p>
        </w:tc>
      </w:tr>
      <w:tr w:rsidR="006B16F7" w:rsidRPr="006B16F7" w:rsidTr="00732C8B">
        <w:trPr>
          <w:trHeight w:val="412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No especifica ámbito competencial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44% (n=57)</w:t>
            </w:r>
          </w:p>
        </w:tc>
      </w:tr>
      <w:tr w:rsidR="006B16F7" w:rsidRPr="006B16F7" w:rsidTr="00732C8B">
        <w:trPr>
          <w:trHeight w:val="418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Atención a la mujer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9% (n=12)</w:t>
            </w:r>
          </w:p>
        </w:tc>
      </w:tr>
      <w:tr w:rsidR="006B16F7" w:rsidRPr="006B16F7" w:rsidTr="00732C8B">
        <w:trPr>
          <w:trHeight w:val="410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Atención a la infancia y adolescencia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9% (n=12)</w:t>
            </w:r>
          </w:p>
        </w:tc>
      </w:tr>
      <w:tr w:rsidR="006B16F7" w:rsidRPr="006B16F7" w:rsidTr="00732C8B">
        <w:trPr>
          <w:trHeight w:val="416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Docencia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9% (n=12)</w:t>
            </w:r>
          </w:p>
        </w:tc>
      </w:tr>
      <w:tr w:rsidR="006B16F7" w:rsidRPr="006B16F7" w:rsidTr="00732C8B">
        <w:trPr>
          <w:trHeight w:val="422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Urgencias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9% (n=12)</w:t>
            </w:r>
          </w:p>
        </w:tc>
      </w:tr>
      <w:tr w:rsidR="006B16F7" w:rsidRPr="006B16F7" w:rsidTr="00732C8B">
        <w:trPr>
          <w:trHeight w:val="422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Actividades comunitarias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6% (n=8)</w:t>
            </w:r>
          </w:p>
        </w:tc>
      </w:tr>
      <w:tr w:rsidR="006B16F7" w:rsidRPr="006B16F7" w:rsidTr="00732C8B">
        <w:trPr>
          <w:trHeight w:val="422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Investigación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6% (n=8)</w:t>
            </w:r>
          </w:p>
        </w:tc>
      </w:tr>
      <w:tr w:rsidR="006B16F7" w:rsidRPr="006B16F7" w:rsidTr="00732C8B">
        <w:trPr>
          <w:trHeight w:val="422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En la totalidad de los ámbitos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4% (n=5)</w:t>
            </w:r>
          </w:p>
        </w:tc>
      </w:tr>
      <w:tr w:rsidR="006B16F7" w:rsidRPr="006B16F7" w:rsidTr="00732C8B">
        <w:trPr>
          <w:trHeight w:val="422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Práctica avanzada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3% (n=4)</w:t>
            </w:r>
          </w:p>
        </w:tc>
      </w:tr>
      <w:tr w:rsidR="006B16F7" w:rsidRPr="006B16F7" w:rsidTr="00732C8B">
        <w:trPr>
          <w:trHeight w:val="422"/>
        </w:trPr>
        <w:tc>
          <w:tcPr>
            <w:tcW w:w="3119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Atención Primaria</w:t>
            </w:r>
          </w:p>
        </w:tc>
        <w:tc>
          <w:tcPr>
            <w:tcW w:w="3793" w:type="dxa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6B16F7">
              <w:rPr>
                <w:rFonts w:ascii="Arial" w:hAnsi="Arial" w:cs="Arial"/>
                <w:sz w:val="24"/>
                <w:szCs w:val="24"/>
              </w:rPr>
              <w:t>1% (n=1)</w:t>
            </w:r>
          </w:p>
        </w:tc>
      </w:tr>
    </w:tbl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p w:rsidR="006B16F7" w:rsidRDefault="006B16F7" w:rsidP="006B16F7">
      <w:pPr>
        <w:tabs>
          <w:tab w:val="left" w:pos="1452"/>
        </w:tabs>
      </w:pPr>
    </w:p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Pr="006B16F7" w:rsidRDefault="006B16F7" w:rsidP="006B16F7"/>
    <w:p w:rsidR="006B16F7" w:rsidRDefault="006B16F7" w:rsidP="006B16F7"/>
    <w:p w:rsidR="006B16F7" w:rsidRDefault="006B16F7" w:rsidP="006B16F7">
      <w:pPr>
        <w:tabs>
          <w:tab w:val="left" w:pos="2339"/>
        </w:tabs>
      </w:pPr>
      <w:r>
        <w:tab/>
      </w:r>
    </w:p>
    <w:p w:rsidR="006B16F7" w:rsidRDefault="006B16F7" w:rsidP="006B16F7">
      <w:pPr>
        <w:tabs>
          <w:tab w:val="left" w:pos="2339"/>
        </w:tabs>
      </w:pPr>
    </w:p>
    <w:p w:rsidR="006B16F7" w:rsidRDefault="006B16F7" w:rsidP="006B16F7">
      <w:pPr>
        <w:tabs>
          <w:tab w:val="left" w:pos="2339"/>
        </w:tabs>
      </w:pPr>
    </w:p>
    <w:p w:rsidR="006B16F7" w:rsidRDefault="006B16F7" w:rsidP="006B16F7">
      <w:pPr>
        <w:tabs>
          <w:tab w:val="left" w:pos="2339"/>
        </w:tabs>
      </w:pPr>
    </w:p>
    <w:p w:rsidR="006B16F7" w:rsidRDefault="006B16F7" w:rsidP="006B16F7">
      <w:pPr>
        <w:tabs>
          <w:tab w:val="left" w:pos="2339"/>
        </w:tabs>
      </w:pPr>
    </w:p>
    <w:p w:rsidR="006B16F7" w:rsidRDefault="006B16F7" w:rsidP="006B16F7">
      <w:pPr>
        <w:tabs>
          <w:tab w:val="left" w:pos="2339"/>
        </w:tabs>
      </w:pPr>
    </w:p>
    <w:p w:rsidR="006B16F7" w:rsidRDefault="006B16F7" w:rsidP="006B16F7">
      <w:pPr>
        <w:tabs>
          <w:tab w:val="left" w:pos="2339"/>
        </w:tabs>
      </w:pPr>
    </w:p>
    <w:p w:rsidR="006B16F7" w:rsidRDefault="006B16F7" w:rsidP="006B16F7">
      <w:pPr>
        <w:tabs>
          <w:tab w:val="left" w:pos="2339"/>
        </w:tabs>
      </w:pPr>
    </w:p>
    <w:p w:rsidR="006B16F7" w:rsidRDefault="006B16F7" w:rsidP="006B16F7">
      <w:pPr>
        <w:tabs>
          <w:tab w:val="left" w:pos="2339"/>
        </w:tabs>
      </w:pPr>
    </w:p>
    <w:p w:rsidR="006B16F7" w:rsidRDefault="006B16F7" w:rsidP="006B16F7">
      <w:pPr>
        <w:tabs>
          <w:tab w:val="left" w:pos="2339"/>
        </w:tabs>
      </w:pPr>
    </w:p>
    <w:tbl>
      <w:tblPr>
        <w:tblpPr w:leftFromText="141" w:rightFromText="141" w:vertAnchor="page" w:horzAnchor="margin" w:tblpY="3526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Look w:val="04A0"/>
      </w:tblPr>
      <w:tblGrid>
        <w:gridCol w:w="8897"/>
      </w:tblGrid>
      <w:tr w:rsidR="006B16F7" w:rsidRPr="006B16F7" w:rsidTr="00732C8B">
        <w:trPr>
          <w:trHeight w:val="565"/>
        </w:trPr>
        <w:tc>
          <w:tcPr>
            <w:tcW w:w="889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6B16F7" w:rsidRPr="006B16F7" w:rsidRDefault="006B16F7" w:rsidP="00732C8B">
            <w:pPr>
              <w:tabs>
                <w:tab w:val="center" w:pos="4252"/>
                <w:tab w:val="right" w:pos="8504"/>
              </w:tabs>
              <w:spacing w:before="24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6B16F7">
              <w:rPr>
                <w:rFonts w:ascii="Arial" w:hAnsi="Arial" w:cs="Arial"/>
                <w:b/>
                <w:sz w:val="24"/>
                <w:szCs w:val="24"/>
              </w:rPr>
              <w:t>Tabla 4. Aportación a la AP de los especialistas en EFYC</w:t>
            </w:r>
          </w:p>
        </w:tc>
      </w:tr>
      <w:tr w:rsidR="006B16F7" w:rsidRPr="006B16F7" w:rsidTr="00732C8B">
        <w:trPr>
          <w:trHeight w:val="6940"/>
        </w:trPr>
        <w:tc>
          <w:tcPr>
            <w:tcW w:w="8897" w:type="dxa"/>
            <w:tcBorders>
              <w:top w:val="single" w:sz="4" w:space="0" w:color="auto"/>
            </w:tcBorders>
            <w:shd w:val="clear" w:color="auto" w:fill="FFFFFF" w:themeFill="background1"/>
            <w:vAlign w:val="center"/>
          </w:tcPr>
          <w:p w:rsidR="006B16F7" w:rsidRPr="006B16F7" w:rsidRDefault="006B16F7" w:rsidP="00732C8B">
            <w:pPr>
              <w:spacing w:before="240"/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6B16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- “La especialización implica una mejor formación del profesional y un profesional centrado en el ámbito de AP. Sin duda aportaría un salto cualitativo que repercute primero sobre los pacientes y sobre el propio sistema sanitario”.</w:t>
            </w:r>
          </w:p>
          <w:p w:rsidR="006B16F7" w:rsidRPr="006B16F7" w:rsidRDefault="006B16F7" w:rsidP="00732C8B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6B16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- “Una visión comunitaria orientada hacia la promoción de salud, dinamización en los accesos al sistema sanitario, capacitación de las personas en su proceso salud-enfermedad por lo que les dotaría de más autonomía, descentralizar la atención sanitaria de primer nivel y promover un cambio de actitud y mentalidad en la población”.</w:t>
            </w:r>
          </w:p>
          <w:p w:rsidR="006B16F7" w:rsidRPr="006B16F7" w:rsidRDefault="006B16F7" w:rsidP="00732C8B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6B16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- “La enfermera especialista adquiere unas competencias durante la residencia que la capacitan para garantizar una asistencia sanitaria integral y continuada a las personas, familia y comunidad con el objetivo de lograr un mayor nivel de salud a lo largo de toda su vida: desde el desarrollo infantil, adolescencia, adulto, jubilación y vejez, hasta el final de la vida”.</w:t>
            </w:r>
          </w:p>
          <w:p w:rsidR="006B16F7" w:rsidRPr="006B16F7" w:rsidRDefault="006B16F7" w:rsidP="00732C8B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6B16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- “Puede aportar cuidados especializados y basados en evidencia, conocimientos en investigación y capacidad para planificar y desarrollar programas de atención comunitaria, así como labores de vigilancia epidemiológica”.</w:t>
            </w:r>
          </w:p>
          <w:p w:rsidR="006B16F7" w:rsidRPr="006B16F7" w:rsidRDefault="006B16F7" w:rsidP="00732C8B">
            <w:pPr>
              <w:ind w:right="142"/>
              <w:jc w:val="both"/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</w:pPr>
            <w:r w:rsidRPr="006B16F7">
              <w:rPr>
                <w:rFonts w:ascii="Arial" w:eastAsia="Times New Roman" w:hAnsi="Arial" w:cs="Arial"/>
                <w:color w:val="000000"/>
                <w:sz w:val="24"/>
                <w:szCs w:val="24"/>
                <w:lang w:eastAsia="es-ES"/>
              </w:rPr>
              <w:t>- “La sociedad actual presenta unas demandas en salud derivadas de circunstancias concretas: Factores demográficos y económicos, patologías prevalentes, tecnologías de la información, movimientos poblacionales, hábitos de salud, derechos del ciudadano, etc. La especialista en Enfermería Familiar y Comunitaria, a través de cuidados de calidad asegura un ejercicio profesional basado en los valores profesionales que la legitiman ante la sociedad, dando respuesta a las demandas de salud que se deriven de los factores antes citados”.</w:t>
            </w:r>
          </w:p>
        </w:tc>
      </w:tr>
    </w:tbl>
    <w:p w:rsidR="006B16F7" w:rsidRDefault="006B16F7" w:rsidP="006B16F7">
      <w:pPr>
        <w:tabs>
          <w:tab w:val="left" w:pos="2339"/>
        </w:tabs>
      </w:pPr>
    </w:p>
    <w:sectPr w:rsidR="006B16F7" w:rsidSect="00FA67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6B16F7"/>
    <w:rsid w:val="0036739F"/>
    <w:rsid w:val="006B16F7"/>
    <w:rsid w:val="00787E93"/>
    <w:rsid w:val="00881D75"/>
    <w:rsid w:val="00AA2416"/>
    <w:rsid w:val="00AB74A8"/>
    <w:rsid w:val="00DE6365"/>
    <w:rsid w:val="00FA67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16F7"/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463</Words>
  <Characters>2551</Characters>
  <Application>Microsoft Office Word</Application>
  <DocSecurity>0</DocSecurity>
  <Lines>21</Lines>
  <Paragraphs>6</Paragraphs>
  <ScaleCrop>false</ScaleCrop>
  <Company>Windows XP</Company>
  <LinksUpToDate>false</LinksUpToDate>
  <CharactersWithSpaces>3008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2015-04-13T14:23:00Z</dcterms:created>
  <dcterms:modified xsi:type="dcterms:W3CDTF">2015-04-13T14:23:00Z</dcterms:modified>
</cp:coreProperties>
</file>