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9C" w:rsidRPr="00A073DD" w:rsidRDefault="005A519C" w:rsidP="0042662D">
      <w:pPr>
        <w:spacing w:after="0" w:line="360" w:lineRule="auto"/>
        <w:jc w:val="center"/>
        <w:rPr>
          <w:rFonts w:ascii="Times New Roman" w:eastAsia="Times New Roman" w:hAnsi="Times New Roman" w:cs="Times New Roman"/>
          <w:b/>
          <w:bCs/>
          <w:sz w:val="24"/>
          <w:szCs w:val="24"/>
          <w:lang w:eastAsia="es-ES"/>
        </w:rPr>
      </w:pPr>
      <w:r w:rsidRPr="00A073DD">
        <w:rPr>
          <w:rFonts w:ascii="Times New Roman" w:eastAsia="Times New Roman" w:hAnsi="Times New Roman" w:cs="Times New Roman"/>
          <w:b/>
          <w:bCs/>
          <w:sz w:val="24"/>
          <w:szCs w:val="24"/>
          <w:lang w:eastAsia="es-ES"/>
        </w:rPr>
        <w:t xml:space="preserve">Subjetividad trascendental. El giro irracional de la </w:t>
      </w:r>
      <w:r w:rsidRPr="00A073DD">
        <w:rPr>
          <w:rFonts w:ascii="Times New Roman" w:eastAsia="Times New Roman" w:hAnsi="Times New Roman" w:cs="Times New Roman"/>
          <w:b/>
          <w:bCs/>
          <w:i/>
          <w:iCs/>
          <w:sz w:val="24"/>
          <w:szCs w:val="24"/>
          <w:lang w:eastAsia="es-ES"/>
        </w:rPr>
        <w:t>Crítica del Juicio</w:t>
      </w:r>
    </w:p>
    <w:p w:rsidR="002A71AE" w:rsidRPr="000E342F" w:rsidRDefault="002A71AE" w:rsidP="002A71AE">
      <w:pPr>
        <w:spacing w:after="0" w:line="360" w:lineRule="auto"/>
        <w:jc w:val="center"/>
        <w:rPr>
          <w:rFonts w:ascii="Times New Roman" w:eastAsia="Times New Roman" w:hAnsi="Times New Roman" w:cs="Times New Roman"/>
          <w:bCs/>
          <w:sz w:val="24"/>
          <w:szCs w:val="24"/>
          <w:lang w:val="en-GB" w:eastAsia="es-ES"/>
        </w:rPr>
      </w:pPr>
      <w:r>
        <w:rPr>
          <w:rFonts w:ascii="Times New Roman" w:eastAsia="Times New Roman" w:hAnsi="Times New Roman" w:cs="Times New Roman"/>
          <w:bCs/>
          <w:iCs/>
          <w:sz w:val="24"/>
          <w:szCs w:val="24"/>
          <w:lang w:val="en-GB" w:eastAsia="es-ES"/>
        </w:rPr>
        <w:t xml:space="preserve">Transcendental subjectivity. The irrational turn of the </w:t>
      </w:r>
      <w:r w:rsidRPr="000E342F">
        <w:rPr>
          <w:rFonts w:ascii="Times New Roman" w:eastAsia="Times New Roman" w:hAnsi="Times New Roman" w:cs="Times New Roman"/>
          <w:bCs/>
          <w:i/>
          <w:iCs/>
          <w:sz w:val="24"/>
          <w:szCs w:val="24"/>
          <w:lang w:val="en-GB" w:eastAsia="es-ES"/>
        </w:rPr>
        <w:t>Critique of Judgment</w:t>
      </w:r>
    </w:p>
    <w:p w:rsidR="002A71AE" w:rsidRPr="000E342F" w:rsidRDefault="002A71AE" w:rsidP="002A71AE">
      <w:pPr>
        <w:spacing w:after="0" w:line="360" w:lineRule="auto"/>
        <w:jc w:val="both"/>
        <w:rPr>
          <w:rFonts w:ascii="Times New Roman" w:eastAsia="Times New Roman" w:hAnsi="Times New Roman" w:cs="Times New Roman"/>
          <w:b/>
          <w:sz w:val="24"/>
          <w:szCs w:val="24"/>
          <w:lang w:eastAsia="es-ES"/>
        </w:rPr>
      </w:pPr>
      <w:r w:rsidRPr="000E342F">
        <w:rPr>
          <w:rFonts w:ascii="Times New Roman" w:eastAsia="Times New Roman" w:hAnsi="Times New Roman" w:cs="Times New Roman"/>
          <w:b/>
          <w:sz w:val="24"/>
          <w:szCs w:val="24"/>
          <w:lang w:eastAsia="es-ES"/>
        </w:rPr>
        <w:t>Resumen.</w:t>
      </w:r>
    </w:p>
    <w:p w:rsidR="002A71AE" w:rsidRDefault="002A71AE" w:rsidP="002A71AE">
      <w:pPr>
        <w:spacing w:after="0" w:line="360" w:lineRule="auto"/>
        <w:ind w:firstLine="360"/>
        <w:jc w:val="both"/>
        <w:rPr>
          <w:rFonts w:ascii="Times New Roman" w:eastAsia="Times New Roman" w:hAnsi="Times New Roman" w:cs="Times New Roman"/>
          <w:sz w:val="24"/>
          <w:szCs w:val="24"/>
          <w:lang w:eastAsia="es-ES"/>
        </w:rPr>
      </w:pPr>
      <w:r w:rsidRPr="002A7711">
        <w:rPr>
          <w:rFonts w:ascii="Times New Roman" w:eastAsia="Times New Roman" w:hAnsi="Times New Roman" w:cs="Times New Roman"/>
          <w:sz w:val="24"/>
          <w:szCs w:val="24"/>
          <w:lang w:eastAsia="es-ES"/>
        </w:rPr>
        <w:t>El propósito de esta nota es el análisis crítico de las razones esgrimidas por Marco Sgarbi, Nuria Sánchez y Óscar Cubo</w:t>
      </w:r>
      <w:r>
        <w:rPr>
          <w:rFonts w:ascii="Times New Roman" w:eastAsia="Times New Roman" w:hAnsi="Times New Roman" w:cs="Times New Roman"/>
          <w:sz w:val="24"/>
          <w:szCs w:val="24"/>
          <w:lang w:eastAsia="es-ES"/>
        </w:rPr>
        <w:t xml:space="preserve"> </w:t>
      </w:r>
      <w:r w:rsidRPr="002A7711">
        <w:rPr>
          <w:rFonts w:ascii="Times New Roman" w:eastAsia="Times New Roman" w:hAnsi="Times New Roman" w:cs="Times New Roman"/>
          <w:sz w:val="24"/>
          <w:szCs w:val="24"/>
          <w:lang w:eastAsia="es-ES"/>
        </w:rPr>
        <w:t xml:space="preserve">para </w:t>
      </w:r>
      <w:r>
        <w:rPr>
          <w:rFonts w:ascii="Times New Roman" w:eastAsia="Times New Roman" w:hAnsi="Times New Roman" w:cs="Times New Roman"/>
          <w:sz w:val="24"/>
          <w:szCs w:val="24"/>
          <w:lang w:eastAsia="es-ES"/>
        </w:rPr>
        <w:t>defender</w:t>
      </w:r>
      <w:r w:rsidRPr="002A7711">
        <w:rPr>
          <w:rFonts w:ascii="Times New Roman" w:eastAsia="Times New Roman" w:hAnsi="Times New Roman" w:cs="Times New Roman"/>
          <w:sz w:val="24"/>
          <w:szCs w:val="24"/>
          <w:lang w:eastAsia="es-ES"/>
        </w:rPr>
        <w:t xml:space="preserve"> que el objeto de la </w:t>
      </w:r>
      <w:r w:rsidRPr="00C9183A">
        <w:rPr>
          <w:rFonts w:ascii="Times New Roman" w:eastAsia="Times New Roman" w:hAnsi="Times New Roman" w:cs="Times New Roman"/>
          <w:i/>
          <w:sz w:val="24"/>
          <w:szCs w:val="24"/>
          <w:lang w:eastAsia="es-ES"/>
        </w:rPr>
        <w:t>Crítica del Juicio</w:t>
      </w:r>
      <w:r w:rsidRPr="002A7711">
        <w:rPr>
          <w:rFonts w:ascii="Times New Roman" w:eastAsia="Times New Roman" w:hAnsi="Times New Roman" w:cs="Times New Roman"/>
          <w:sz w:val="24"/>
          <w:szCs w:val="24"/>
          <w:lang w:eastAsia="es-ES"/>
        </w:rPr>
        <w:t>, lejos de limitarse a lo bello y lo sublime, no es sino una exposición de los principios trascendentales que gobiernan la fac</w:t>
      </w:r>
      <w:r>
        <w:rPr>
          <w:rFonts w:ascii="Times New Roman" w:eastAsia="Times New Roman" w:hAnsi="Times New Roman" w:cs="Times New Roman"/>
          <w:sz w:val="24"/>
          <w:szCs w:val="24"/>
          <w:lang w:eastAsia="es-ES"/>
        </w:rPr>
        <w:t xml:space="preserve">ultad de juzgar, entendida </w:t>
      </w:r>
      <w:r w:rsidRPr="002A7711">
        <w:rPr>
          <w:rFonts w:ascii="Times New Roman" w:eastAsia="Times New Roman" w:hAnsi="Times New Roman" w:cs="Times New Roman"/>
          <w:sz w:val="24"/>
          <w:szCs w:val="24"/>
          <w:lang w:eastAsia="es-ES"/>
        </w:rPr>
        <w:t>como un puente entre las esferas de la razón y el entendimiento. Ahora bien, dicho puente no se define en</w:t>
      </w:r>
      <w:r>
        <w:rPr>
          <w:rFonts w:ascii="Times New Roman" w:eastAsia="Times New Roman" w:hAnsi="Times New Roman" w:cs="Times New Roman"/>
          <w:sz w:val="24"/>
          <w:szCs w:val="24"/>
          <w:lang w:eastAsia="es-ES"/>
        </w:rPr>
        <w:t xml:space="preserve"> términos objetivos</w:t>
      </w:r>
      <w:r w:rsidRPr="002A7711">
        <w:rPr>
          <w:rFonts w:ascii="Times New Roman" w:eastAsia="Times New Roman" w:hAnsi="Times New Roman" w:cs="Times New Roman"/>
          <w:sz w:val="24"/>
          <w:szCs w:val="24"/>
          <w:lang w:eastAsia="es-ES"/>
        </w:rPr>
        <w:t xml:space="preserve">: en tanto condición de posibilidad del pensar conceptual, en la tercera </w:t>
      </w:r>
      <w:r w:rsidRPr="002A7711">
        <w:rPr>
          <w:rFonts w:ascii="Times New Roman" w:eastAsia="Times New Roman" w:hAnsi="Times New Roman" w:cs="Times New Roman"/>
          <w:i/>
          <w:sz w:val="24"/>
          <w:szCs w:val="24"/>
          <w:lang w:eastAsia="es-ES"/>
        </w:rPr>
        <w:t>Crítica</w:t>
      </w:r>
      <w:r w:rsidRPr="002A7711">
        <w:rPr>
          <w:rFonts w:ascii="Times New Roman" w:eastAsia="Times New Roman" w:hAnsi="Times New Roman" w:cs="Times New Roman"/>
          <w:sz w:val="24"/>
          <w:szCs w:val="24"/>
          <w:lang w:eastAsia="es-ES"/>
        </w:rPr>
        <w:t xml:space="preserve"> opera</w:t>
      </w:r>
      <w:r>
        <w:rPr>
          <w:rFonts w:ascii="Times New Roman" w:eastAsia="Times New Roman" w:hAnsi="Times New Roman" w:cs="Times New Roman"/>
          <w:sz w:val="24"/>
          <w:szCs w:val="24"/>
          <w:lang w:eastAsia="es-ES"/>
        </w:rPr>
        <w:t>ría</w:t>
      </w:r>
      <w:r w:rsidRPr="002A7711">
        <w:rPr>
          <w:rFonts w:ascii="Times New Roman" w:eastAsia="Times New Roman" w:hAnsi="Times New Roman" w:cs="Times New Roman"/>
          <w:sz w:val="24"/>
          <w:szCs w:val="24"/>
          <w:lang w:eastAsia="es-ES"/>
        </w:rPr>
        <w:t xml:space="preserve"> una "segunda revolución", un "giro irracional", hacia la subjetividad.</w:t>
      </w:r>
    </w:p>
    <w:p w:rsidR="002A71AE" w:rsidRDefault="002A71AE" w:rsidP="002A71AE">
      <w:pPr>
        <w:spacing w:after="0" w:line="360" w:lineRule="auto"/>
        <w:ind w:firstLine="360"/>
        <w:jc w:val="both"/>
        <w:rPr>
          <w:rFonts w:ascii="Times New Roman" w:eastAsia="Times New Roman" w:hAnsi="Times New Roman" w:cs="Times New Roman"/>
          <w:sz w:val="24"/>
          <w:szCs w:val="24"/>
          <w:lang w:eastAsia="es-ES"/>
        </w:rPr>
      </w:pPr>
      <w:r w:rsidRPr="002A7711">
        <w:rPr>
          <w:rFonts w:ascii="Times New Roman" w:eastAsia="Times New Roman" w:hAnsi="Times New Roman" w:cs="Times New Roman"/>
          <w:i/>
          <w:sz w:val="24"/>
          <w:szCs w:val="24"/>
          <w:lang w:eastAsia="es-ES"/>
        </w:rPr>
        <w:t>Palabras clave</w:t>
      </w:r>
      <w:r w:rsidRPr="002A7711">
        <w:rPr>
          <w:rFonts w:ascii="Times New Roman" w:eastAsia="Times New Roman" w:hAnsi="Times New Roman" w:cs="Times New Roman"/>
          <w:sz w:val="24"/>
          <w:szCs w:val="24"/>
          <w:lang w:eastAsia="es-ES"/>
        </w:rPr>
        <w:t>: Crítica del Juicio; Immanuel Kant; Marco Sgarbi; Nuria Sánchez; Óscar Cubo; lógica de lo irracional; técnica d</w:t>
      </w:r>
      <w:r>
        <w:rPr>
          <w:rFonts w:ascii="Times New Roman" w:eastAsia="Times New Roman" w:hAnsi="Times New Roman" w:cs="Times New Roman"/>
          <w:sz w:val="24"/>
          <w:szCs w:val="24"/>
          <w:lang w:eastAsia="es-ES"/>
        </w:rPr>
        <w:t>e la naturaleza; sentido común;</w:t>
      </w:r>
      <w:r w:rsidRPr="002A7711">
        <w:rPr>
          <w:rFonts w:ascii="Times New Roman" w:eastAsia="Times New Roman" w:hAnsi="Times New Roman" w:cs="Times New Roman"/>
          <w:sz w:val="24"/>
          <w:szCs w:val="24"/>
          <w:lang w:eastAsia="es-ES"/>
        </w:rPr>
        <w:t xml:space="preserve"> subjetividad</w:t>
      </w:r>
      <w:r>
        <w:rPr>
          <w:rFonts w:ascii="Times New Roman" w:eastAsia="Times New Roman" w:hAnsi="Times New Roman" w:cs="Times New Roman"/>
          <w:sz w:val="24"/>
          <w:szCs w:val="24"/>
          <w:lang w:eastAsia="es-ES"/>
        </w:rPr>
        <w:t>.</w:t>
      </w:r>
    </w:p>
    <w:p w:rsidR="002A71AE" w:rsidRPr="000E342F" w:rsidRDefault="002A71AE" w:rsidP="002A71AE">
      <w:pPr>
        <w:spacing w:after="0" w:line="360" w:lineRule="auto"/>
        <w:jc w:val="both"/>
        <w:rPr>
          <w:rFonts w:ascii="Times New Roman" w:eastAsia="Times New Roman" w:hAnsi="Times New Roman" w:cs="Times New Roman"/>
          <w:b/>
          <w:sz w:val="24"/>
          <w:szCs w:val="24"/>
          <w:lang w:val="en-GB" w:eastAsia="es-ES"/>
        </w:rPr>
      </w:pPr>
      <w:r w:rsidRPr="000E342F">
        <w:rPr>
          <w:rFonts w:ascii="Times New Roman" w:eastAsia="Times New Roman" w:hAnsi="Times New Roman" w:cs="Times New Roman"/>
          <w:b/>
          <w:sz w:val="24"/>
          <w:szCs w:val="24"/>
          <w:lang w:val="en-GB" w:eastAsia="es-ES"/>
        </w:rPr>
        <w:t>Abstract.</w:t>
      </w:r>
    </w:p>
    <w:p w:rsidR="002A71AE" w:rsidRPr="00D02971" w:rsidRDefault="002A71AE" w:rsidP="002A71AE">
      <w:pPr>
        <w:spacing w:after="0" w:line="360" w:lineRule="auto"/>
        <w:ind w:firstLine="360"/>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 xml:space="preserve">The aim of this note is to analyse critically the reasons offered by Marco Sgarbi, Nuria Sánchez and Óscar Cubo in order to defend that the issue of the </w:t>
      </w:r>
      <w:r w:rsidRPr="00D02971">
        <w:rPr>
          <w:rFonts w:ascii="Times New Roman" w:eastAsia="Times New Roman" w:hAnsi="Times New Roman" w:cs="Times New Roman"/>
          <w:i/>
          <w:sz w:val="24"/>
          <w:szCs w:val="24"/>
          <w:lang w:val="en-GB" w:eastAsia="es-ES"/>
        </w:rPr>
        <w:t>Critique of Judgment</w:t>
      </w:r>
      <w:r>
        <w:rPr>
          <w:rFonts w:ascii="Times New Roman" w:eastAsia="Times New Roman" w:hAnsi="Times New Roman" w:cs="Times New Roman"/>
          <w:sz w:val="24"/>
          <w:szCs w:val="24"/>
          <w:lang w:val="en-GB" w:eastAsia="es-ES"/>
        </w:rPr>
        <w:t xml:space="preserve">, far of being limited to the beautiful and the sublime, is an explanation of the transcendental principles which govern the power of judgment, conceived as a bridge between the fields of reason and understanding. However, this bridge is not defined in terms of objectivity: as the possibility condition of conceptual thinking, in the third </w:t>
      </w:r>
      <w:r w:rsidRPr="00010733">
        <w:rPr>
          <w:rFonts w:ascii="Times New Roman" w:eastAsia="Times New Roman" w:hAnsi="Times New Roman" w:cs="Times New Roman"/>
          <w:i/>
          <w:sz w:val="24"/>
          <w:szCs w:val="24"/>
          <w:lang w:val="en-GB" w:eastAsia="es-ES"/>
        </w:rPr>
        <w:t>Critique</w:t>
      </w:r>
      <w:r>
        <w:rPr>
          <w:rFonts w:ascii="Times New Roman" w:eastAsia="Times New Roman" w:hAnsi="Times New Roman" w:cs="Times New Roman"/>
          <w:sz w:val="24"/>
          <w:szCs w:val="24"/>
          <w:lang w:val="en-GB" w:eastAsia="es-ES"/>
        </w:rPr>
        <w:t xml:space="preserve"> would be taken place a “second revolution”, an “irrational turn”, towards subjectivity.</w:t>
      </w:r>
    </w:p>
    <w:p w:rsidR="00727CBC" w:rsidRDefault="002A71AE" w:rsidP="00C93ACA">
      <w:pPr>
        <w:spacing w:after="0" w:line="360" w:lineRule="auto"/>
        <w:ind w:firstLine="360"/>
        <w:jc w:val="both"/>
        <w:rPr>
          <w:rFonts w:ascii="Times New Roman" w:eastAsia="Times New Roman" w:hAnsi="Times New Roman" w:cs="Times New Roman"/>
          <w:sz w:val="24"/>
          <w:szCs w:val="24"/>
          <w:lang w:val="en-GB" w:eastAsia="es-ES"/>
        </w:rPr>
      </w:pPr>
      <w:r w:rsidRPr="000E342F">
        <w:rPr>
          <w:rFonts w:ascii="Times New Roman" w:eastAsia="Times New Roman" w:hAnsi="Times New Roman" w:cs="Times New Roman"/>
          <w:i/>
          <w:sz w:val="24"/>
          <w:szCs w:val="24"/>
          <w:lang w:val="en-GB" w:eastAsia="es-ES"/>
        </w:rPr>
        <w:t>Key words</w:t>
      </w:r>
      <w:r>
        <w:rPr>
          <w:rFonts w:ascii="Times New Roman" w:eastAsia="Times New Roman" w:hAnsi="Times New Roman" w:cs="Times New Roman"/>
          <w:sz w:val="24"/>
          <w:szCs w:val="24"/>
          <w:lang w:val="en-GB" w:eastAsia="es-ES"/>
        </w:rPr>
        <w:t>: Critique of Judgment; Immanuel Kant; Marco Sgarbi; Nuria Sánchez; Óscar Cubo; logic of irrational; technique of Nature; common sense; subjectivity.</w:t>
      </w:r>
    </w:p>
    <w:p w:rsidR="00C93ACA" w:rsidRPr="000E342F" w:rsidRDefault="00C93ACA" w:rsidP="00C93ACA">
      <w:pPr>
        <w:spacing w:after="0" w:line="360" w:lineRule="auto"/>
        <w:ind w:firstLine="360"/>
        <w:jc w:val="both"/>
        <w:rPr>
          <w:rFonts w:ascii="Times New Roman" w:eastAsia="Times New Roman" w:hAnsi="Times New Roman" w:cs="Times New Roman"/>
          <w:sz w:val="24"/>
          <w:szCs w:val="24"/>
          <w:lang w:val="en-GB" w:eastAsia="es-ES"/>
        </w:rPr>
      </w:pPr>
    </w:p>
    <w:p w:rsidR="005A519C" w:rsidRPr="00727CBC" w:rsidRDefault="007C660E" w:rsidP="00727CBC">
      <w:pPr>
        <w:spacing w:after="0"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w:t>
      </w:r>
      <w:r w:rsidR="00727CBC" w:rsidRPr="00727CBC">
        <w:rPr>
          <w:rFonts w:ascii="Times New Roman" w:eastAsia="Times New Roman" w:hAnsi="Times New Roman" w:cs="Times New Roman"/>
          <w:b/>
          <w:sz w:val="24"/>
          <w:szCs w:val="24"/>
          <w:lang w:eastAsia="es-ES"/>
        </w:rPr>
        <w:t xml:space="preserve">. Estudiando la </w:t>
      </w:r>
      <w:r w:rsidR="00727CBC" w:rsidRPr="00727CBC">
        <w:rPr>
          <w:rFonts w:ascii="Times New Roman" w:eastAsia="Times New Roman" w:hAnsi="Times New Roman" w:cs="Times New Roman"/>
          <w:b/>
          <w:i/>
          <w:sz w:val="24"/>
          <w:szCs w:val="24"/>
          <w:lang w:eastAsia="es-ES"/>
        </w:rPr>
        <w:t>Crítica del Juicio</w:t>
      </w:r>
      <w:r w:rsidR="00727CBC" w:rsidRPr="00727CBC">
        <w:rPr>
          <w:rFonts w:ascii="Times New Roman" w:eastAsia="Times New Roman" w:hAnsi="Times New Roman" w:cs="Times New Roman"/>
          <w:b/>
          <w:sz w:val="24"/>
          <w:szCs w:val="24"/>
          <w:lang w:eastAsia="es-ES"/>
        </w:rPr>
        <w:t>: nuevas aproximaciones en castellano.</w:t>
      </w:r>
    </w:p>
    <w:p w:rsidR="005A519C" w:rsidRPr="005A519C" w:rsidRDefault="00A95A09" w:rsidP="00727CBC">
      <w:pPr>
        <w:spacing w:after="0" w:line="360" w:lineRule="auto"/>
        <w:ind w:firstLine="36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Normalmente</w:t>
      </w:r>
      <w:r w:rsidR="005A519C" w:rsidRPr="005A519C">
        <w:rPr>
          <w:rFonts w:ascii="Times New Roman" w:eastAsia="Times New Roman" w:hAnsi="Times New Roman" w:cs="Times New Roman"/>
          <w:sz w:val="24"/>
          <w:szCs w:val="24"/>
          <w:lang w:eastAsia="es-ES"/>
        </w:rPr>
        <w:t xml:space="preserve">, el aniversario de una fecha de especial relevancia filosófica </w:t>
      </w:r>
      <w:r>
        <w:rPr>
          <w:rFonts w:ascii="Times New Roman" w:eastAsia="Times New Roman" w:hAnsi="Times New Roman" w:cs="Times New Roman"/>
          <w:sz w:val="24"/>
          <w:szCs w:val="24"/>
          <w:lang w:eastAsia="es-ES"/>
        </w:rPr>
        <w:t xml:space="preserve">suele </w:t>
      </w:r>
      <w:r w:rsidR="005A519C" w:rsidRPr="005A519C">
        <w:rPr>
          <w:rFonts w:ascii="Times New Roman" w:eastAsia="Times New Roman" w:hAnsi="Times New Roman" w:cs="Times New Roman"/>
          <w:sz w:val="24"/>
          <w:szCs w:val="24"/>
          <w:lang w:eastAsia="es-ES"/>
        </w:rPr>
        <w:t>supone</w:t>
      </w:r>
      <w:r>
        <w:rPr>
          <w:rFonts w:ascii="Times New Roman" w:eastAsia="Times New Roman" w:hAnsi="Times New Roman" w:cs="Times New Roman"/>
          <w:sz w:val="24"/>
          <w:szCs w:val="24"/>
          <w:lang w:eastAsia="es-ES"/>
        </w:rPr>
        <w:t>r</w:t>
      </w:r>
      <w:r w:rsidR="005A519C" w:rsidRPr="005A519C">
        <w:rPr>
          <w:rFonts w:ascii="Times New Roman" w:eastAsia="Times New Roman" w:hAnsi="Times New Roman" w:cs="Times New Roman"/>
          <w:sz w:val="24"/>
          <w:szCs w:val="24"/>
          <w:lang w:eastAsia="es-ES"/>
        </w:rPr>
        <w:t xml:space="preserve"> una gran oportunidad para la recuperación de las enseñanzas del autor que se conmemora: es habitual, en este contexto, la proliferación de congresos, monografías y compendios que nos invitan al ejercicio crítico del cuestionamiento historiográfico, a fin de alcanzar una comprensión cabal de las controversias que todavía hoy suscitan dichos pensadores. Sin embargo, resulta bastante llamativo descubrir que, sin el concurso de ninguna efeméride notable, algunas aportaciones recientes</w:t>
      </w:r>
      <w:r>
        <w:rPr>
          <w:rFonts w:ascii="Times New Roman" w:eastAsia="Times New Roman" w:hAnsi="Times New Roman" w:cs="Times New Roman"/>
          <w:sz w:val="24"/>
          <w:szCs w:val="24"/>
          <w:lang w:eastAsia="es-ES"/>
        </w:rPr>
        <w:t xml:space="preserve"> en castellano</w:t>
      </w:r>
      <w:r w:rsidR="005A519C" w:rsidRPr="005A519C">
        <w:rPr>
          <w:rFonts w:ascii="Times New Roman" w:eastAsia="Times New Roman" w:hAnsi="Times New Roman" w:cs="Times New Roman"/>
          <w:sz w:val="24"/>
          <w:szCs w:val="24"/>
          <w:lang w:eastAsia="es-ES"/>
        </w:rPr>
        <w:t xml:space="preserve"> a la obra crítica de Immanuel Kant (1724-1804), y especialmente a la bibliografía sobre la </w:t>
      </w:r>
      <w:r w:rsidR="005A519C" w:rsidRPr="005A519C">
        <w:rPr>
          <w:rFonts w:ascii="Times New Roman" w:eastAsia="Times New Roman" w:hAnsi="Times New Roman" w:cs="Times New Roman"/>
          <w:i/>
          <w:iCs/>
          <w:sz w:val="24"/>
          <w:szCs w:val="24"/>
          <w:lang w:eastAsia="es-ES"/>
        </w:rPr>
        <w:t>Crítica del Juicio</w:t>
      </w:r>
      <w:r w:rsidR="005A519C" w:rsidRPr="005A519C">
        <w:rPr>
          <w:rFonts w:ascii="Times New Roman" w:eastAsia="Times New Roman" w:hAnsi="Times New Roman" w:cs="Times New Roman"/>
          <w:sz w:val="24"/>
          <w:szCs w:val="24"/>
          <w:lang w:eastAsia="es-ES"/>
        </w:rPr>
        <w:t xml:space="preserve"> (1790), señalan la necesidad de una revisión de los presupuestos hermenéuticos tradicionales que articulan la misma. Así, las reflexiones de Marco </w:t>
      </w:r>
      <w:proofErr w:type="spellStart"/>
      <w:r w:rsidR="005A519C" w:rsidRPr="005A519C">
        <w:rPr>
          <w:rFonts w:ascii="Times New Roman" w:eastAsia="Times New Roman" w:hAnsi="Times New Roman" w:cs="Times New Roman"/>
          <w:sz w:val="24"/>
          <w:szCs w:val="24"/>
          <w:lang w:eastAsia="es-ES"/>
        </w:rPr>
        <w:t>Sgarbi</w:t>
      </w:r>
      <w:proofErr w:type="spellEnd"/>
      <w:r w:rsidR="005A519C" w:rsidRPr="005A519C">
        <w:rPr>
          <w:rFonts w:ascii="Times New Roman" w:eastAsia="Times New Roman" w:hAnsi="Times New Roman" w:cs="Times New Roman"/>
          <w:sz w:val="24"/>
          <w:szCs w:val="24"/>
          <w:lang w:eastAsia="es-ES"/>
        </w:rPr>
        <w:t xml:space="preserve"> (Universidad </w:t>
      </w:r>
      <w:proofErr w:type="spellStart"/>
      <w:r w:rsidR="005A519C" w:rsidRPr="005A519C">
        <w:rPr>
          <w:rFonts w:ascii="Times New Roman" w:eastAsia="Times New Roman" w:hAnsi="Times New Roman" w:cs="Times New Roman"/>
          <w:sz w:val="24"/>
          <w:szCs w:val="24"/>
          <w:lang w:eastAsia="es-ES"/>
        </w:rPr>
        <w:lastRenderedPageBreak/>
        <w:t>Ca’Foscari</w:t>
      </w:r>
      <w:proofErr w:type="spellEnd"/>
      <w:r w:rsidR="005A519C" w:rsidRPr="005A519C">
        <w:rPr>
          <w:rFonts w:ascii="Times New Roman" w:eastAsia="Times New Roman" w:hAnsi="Times New Roman" w:cs="Times New Roman"/>
          <w:sz w:val="24"/>
          <w:szCs w:val="24"/>
          <w:lang w:eastAsia="es-ES"/>
        </w:rPr>
        <w:t xml:space="preserve"> de Venecia), Nuria Sánchez Madrid (UCM) y Óscar Cubo Ugarte (</w:t>
      </w:r>
      <w:proofErr w:type="spellStart"/>
      <w:r w:rsidR="005A519C" w:rsidRPr="005A519C">
        <w:rPr>
          <w:rFonts w:ascii="Times New Roman" w:eastAsia="Times New Roman" w:hAnsi="Times New Roman" w:cs="Times New Roman"/>
          <w:sz w:val="24"/>
          <w:szCs w:val="24"/>
          <w:lang w:eastAsia="es-ES"/>
        </w:rPr>
        <w:t>U</w:t>
      </w:r>
      <w:r>
        <w:rPr>
          <w:rFonts w:ascii="Times New Roman" w:eastAsia="Times New Roman" w:hAnsi="Times New Roman" w:cs="Times New Roman"/>
          <w:sz w:val="24"/>
          <w:szCs w:val="24"/>
          <w:lang w:eastAsia="es-ES"/>
        </w:rPr>
        <w:t>niversität</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Trier</w:t>
      </w:r>
      <w:proofErr w:type="spellEnd"/>
      <w:r w:rsidR="005A519C" w:rsidRPr="005A519C">
        <w:rPr>
          <w:rFonts w:ascii="Times New Roman" w:eastAsia="Times New Roman" w:hAnsi="Times New Roman" w:cs="Times New Roman"/>
          <w:sz w:val="24"/>
          <w:szCs w:val="24"/>
          <w:lang w:eastAsia="es-ES"/>
        </w:rPr>
        <w:t xml:space="preserve">), rostros destacados de una joven y prolija generación de investigadores europeos, conducen a una lectura inédita de ciertos aspectos fundamentales e inadvertidos de la filosofía trascendental situados en la </w:t>
      </w:r>
      <w:r w:rsidR="005A519C" w:rsidRPr="005A519C">
        <w:rPr>
          <w:rFonts w:ascii="Times New Roman" w:eastAsia="Times New Roman" w:hAnsi="Times New Roman" w:cs="Times New Roman"/>
          <w:i/>
          <w:iCs/>
          <w:sz w:val="24"/>
          <w:szCs w:val="24"/>
          <w:lang w:eastAsia="es-ES"/>
        </w:rPr>
        <w:t>tercera Crítica</w:t>
      </w:r>
      <w:r w:rsidR="005A519C" w:rsidRPr="005A519C">
        <w:rPr>
          <w:rFonts w:ascii="Times New Roman" w:eastAsia="Times New Roman" w:hAnsi="Times New Roman" w:cs="Times New Roman"/>
          <w:sz w:val="24"/>
          <w:szCs w:val="24"/>
          <w:lang w:eastAsia="es-ES"/>
        </w:rPr>
        <w:t xml:space="preserve">. Esto es, sus monografías se construyen desde una perspectiva novedosa que alumbra una alternativa plausible en el debate acerca del objeto en torno al cual gira la </w:t>
      </w:r>
      <w:r w:rsidR="005A519C" w:rsidRPr="005A519C">
        <w:rPr>
          <w:rFonts w:ascii="Times New Roman" w:eastAsia="Times New Roman" w:hAnsi="Times New Roman" w:cs="Times New Roman"/>
          <w:i/>
          <w:iCs/>
          <w:sz w:val="24"/>
          <w:szCs w:val="24"/>
          <w:lang w:eastAsia="es-ES"/>
        </w:rPr>
        <w:t>Crítica del Juicio</w:t>
      </w:r>
      <w:r w:rsidR="005A519C" w:rsidRPr="005A519C">
        <w:rPr>
          <w:rFonts w:ascii="Times New Roman" w:eastAsia="Times New Roman" w:hAnsi="Times New Roman" w:cs="Times New Roman"/>
          <w:sz w:val="24"/>
          <w:szCs w:val="24"/>
          <w:vertAlign w:val="superscript"/>
          <w:lang w:eastAsia="es-ES"/>
        </w:rPr>
        <w:footnoteReference w:id="1"/>
      </w:r>
      <w:r w:rsidR="005A519C" w:rsidRPr="005A519C">
        <w:rPr>
          <w:rFonts w:ascii="Times New Roman" w:eastAsia="Times New Roman" w:hAnsi="Times New Roman" w:cs="Times New Roman"/>
          <w:sz w:val="24"/>
          <w:szCs w:val="24"/>
          <w:lang w:eastAsia="es-ES"/>
        </w:rPr>
        <w:t xml:space="preserve">, pues todas ellas rechazan que se trate meramente de un tratado de estética o filosofía de la naturaleza. En efecto, y partiendo de la definición de la primera que ofrece Alexander G. Baumgarten en sus </w:t>
      </w:r>
      <w:r w:rsidR="005A519C" w:rsidRPr="005A519C">
        <w:rPr>
          <w:rFonts w:ascii="Times New Roman" w:eastAsia="Times New Roman" w:hAnsi="Times New Roman" w:cs="Times New Roman"/>
          <w:i/>
          <w:iCs/>
          <w:sz w:val="24"/>
          <w:szCs w:val="24"/>
          <w:lang w:eastAsia="es-ES"/>
        </w:rPr>
        <w:t>Reflexiones filosóficas acerca de la poesía</w:t>
      </w:r>
      <w:r w:rsidR="005A519C" w:rsidRPr="005A519C">
        <w:rPr>
          <w:rFonts w:ascii="Times New Roman" w:eastAsia="Times New Roman" w:hAnsi="Times New Roman" w:cs="Times New Roman"/>
          <w:sz w:val="24"/>
          <w:szCs w:val="24"/>
          <w:lang w:eastAsia="es-ES"/>
        </w:rPr>
        <w:t>, el estudio kantiano de la subjetividad no debe disolverse en la “ciencia de conocimiento inferior”, sino que constituye, en tanto precondición insoslayable para toda clasificación conceptual, una “hermana mayor”</w:t>
      </w:r>
      <w:r w:rsidR="005A519C" w:rsidRPr="005A519C">
        <w:rPr>
          <w:rFonts w:ascii="Times New Roman" w:eastAsia="Times New Roman" w:hAnsi="Times New Roman" w:cs="Times New Roman"/>
          <w:sz w:val="24"/>
          <w:szCs w:val="24"/>
          <w:vertAlign w:val="superscript"/>
          <w:lang w:eastAsia="es-ES"/>
        </w:rPr>
        <w:footnoteReference w:id="2"/>
      </w:r>
      <w:r w:rsidR="005A519C" w:rsidRPr="005A519C">
        <w:rPr>
          <w:rFonts w:ascii="Times New Roman" w:eastAsia="Times New Roman" w:hAnsi="Times New Roman" w:cs="Times New Roman"/>
          <w:sz w:val="24"/>
          <w:szCs w:val="24"/>
          <w:lang w:eastAsia="es-ES"/>
        </w:rPr>
        <w:t xml:space="preserve"> de la propia lógica. </w:t>
      </w:r>
      <w:r>
        <w:rPr>
          <w:rFonts w:ascii="Times New Roman" w:eastAsia="Times New Roman" w:hAnsi="Times New Roman" w:cs="Times New Roman"/>
          <w:sz w:val="24"/>
          <w:szCs w:val="24"/>
          <w:lang w:eastAsia="es-ES"/>
        </w:rPr>
        <w:t>El</w:t>
      </w:r>
      <w:r w:rsidR="005A519C" w:rsidRPr="005A519C">
        <w:rPr>
          <w:rFonts w:ascii="Times New Roman" w:eastAsia="Times New Roman" w:hAnsi="Times New Roman" w:cs="Times New Roman"/>
          <w:sz w:val="24"/>
          <w:szCs w:val="24"/>
          <w:lang w:eastAsia="es-ES"/>
        </w:rPr>
        <w:t xml:space="preserve"> propósito de </w:t>
      </w:r>
      <w:r>
        <w:rPr>
          <w:rFonts w:ascii="Times New Roman" w:eastAsia="Times New Roman" w:hAnsi="Times New Roman" w:cs="Times New Roman"/>
          <w:sz w:val="24"/>
          <w:szCs w:val="24"/>
          <w:lang w:eastAsia="es-ES"/>
        </w:rPr>
        <w:t>esta nota</w:t>
      </w:r>
      <w:r w:rsidR="005A519C" w:rsidRPr="005A519C">
        <w:rPr>
          <w:rFonts w:ascii="Times New Roman" w:eastAsia="Times New Roman" w:hAnsi="Times New Roman" w:cs="Times New Roman"/>
          <w:sz w:val="24"/>
          <w:szCs w:val="24"/>
          <w:lang w:eastAsia="es-ES"/>
        </w:rPr>
        <w:t xml:space="preserve"> consiste en el análisis </w:t>
      </w:r>
      <w:r>
        <w:rPr>
          <w:rFonts w:ascii="Times New Roman" w:eastAsia="Times New Roman" w:hAnsi="Times New Roman" w:cs="Times New Roman"/>
          <w:sz w:val="24"/>
          <w:szCs w:val="24"/>
          <w:lang w:eastAsia="es-ES"/>
        </w:rPr>
        <w:t xml:space="preserve">crítico </w:t>
      </w:r>
      <w:r w:rsidR="005A519C" w:rsidRPr="005A519C">
        <w:rPr>
          <w:rFonts w:ascii="Times New Roman" w:eastAsia="Times New Roman" w:hAnsi="Times New Roman" w:cs="Times New Roman"/>
          <w:sz w:val="24"/>
          <w:szCs w:val="24"/>
          <w:lang w:eastAsia="es-ES"/>
        </w:rPr>
        <w:t xml:space="preserve">de las razones que sostienen esta hipótesis compartida por los filósofos citados, respetando en cada caso su originalidad e innovación personal (que combinan con fidelidad a las fuentes y rigurosa atención a </w:t>
      </w:r>
      <w:r>
        <w:rPr>
          <w:rFonts w:ascii="Times New Roman" w:eastAsia="Times New Roman" w:hAnsi="Times New Roman" w:cs="Times New Roman"/>
          <w:sz w:val="24"/>
          <w:szCs w:val="24"/>
          <w:lang w:eastAsia="es-ES"/>
        </w:rPr>
        <w:t>kantianos ilustres como Giorgio Tonelli, Lionel Ribeiro dos Santos o Jacinto</w:t>
      </w:r>
      <w:r w:rsidR="005A519C" w:rsidRPr="005A519C">
        <w:rPr>
          <w:rFonts w:ascii="Times New Roman" w:eastAsia="Times New Roman" w:hAnsi="Times New Roman" w:cs="Times New Roman"/>
          <w:sz w:val="24"/>
          <w:szCs w:val="24"/>
          <w:lang w:eastAsia="es-ES"/>
        </w:rPr>
        <w:t xml:space="preserve"> Rivera de Rosales) y explicitando previamente las nociones clave en sus planteamientos, así como la argumentación desarrollada en ellos.</w:t>
      </w:r>
    </w:p>
    <w:p w:rsidR="005A519C" w:rsidRPr="005A519C" w:rsidRDefault="005A519C" w:rsidP="00727CBC">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 xml:space="preserve">Para Marco Sgarbi, “la </w:t>
      </w:r>
      <w:r w:rsidRPr="005A519C">
        <w:rPr>
          <w:rFonts w:ascii="Times New Roman" w:eastAsia="Times New Roman" w:hAnsi="Times New Roman" w:cs="Times New Roman"/>
          <w:i/>
          <w:iCs/>
          <w:sz w:val="24"/>
          <w:szCs w:val="24"/>
          <w:lang w:eastAsia="es-ES"/>
        </w:rPr>
        <w:t>Crítica del Juicio</w:t>
      </w:r>
      <w:r w:rsidRPr="005A519C">
        <w:rPr>
          <w:rFonts w:ascii="Times New Roman" w:eastAsia="Times New Roman" w:hAnsi="Times New Roman" w:cs="Times New Roman"/>
          <w:sz w:val="24"/>
          <w:szCs w:val="24"/>
          <w:lang w:eastAsia="es-ES"/>
        </w:rPr>
        <w:t xml:space="preserve"> es la menos canónica de todas las obras de Kant, la obra del filósofo de Königsberg que más evita l</w:t>
      </w:r>
      <w:r w:rsidR="00DC46D6">
        <w:rPr>
          <w:rFonts w:ascii="Times New Roman" w:eastAsia="Times New Roman" w:hAnsi="Times New Roman" w:cs="Times New Roman"/>
          <w:sz w:val="24"/>
          <w:szCs w:val="24"/>
          <w:lang w:eastAsia="es-ES"/>
        </w:rPr>
        <w:t>os esquemas interpretativos tra</w:t>
      </w:r>
      <w:r w:rsidRPr="005A519C">
        <w:rPr>
          <w:rFonts w:ascii="Times New Roman" w:eastAsia="Times New Roman" w:hAnsi="Times New Roman" w:cs="Times New Roman"/>
          <w:sz w:val="24"/>
          <w:szCs w:val="24"/>
          <w:lang w:eastAsia="es-ES"/>
        </w:rPr>
        <w:t>dicionales y los antiguos modelos filosóficos; pero, por ese motivo, tiene derecho a ser considerada como su trabajo más revolucionario”</w:t>
      </w:r>
      <w:r w:rsidRPr="005A519C">
        <w:rPr>
          <w:rFonts w:ascii="Times New Roman" w:eastAsia="Times New Roman" w:hAnsi="Times New Roman" w:cs="Times New Roman"/>
          <w:sz w:val="24"/>
          <w:szCs w:val="24"/>
          <w:vertAlign w:val="superscript"/>
          <w:lang w:eastAsia="es-ES"/>
        </w:rPr>
        <w:footnoteReference w:id="3"/>
      </w:r>
      <w:r w:rsidRPr="005A519C">
        <w:rPr>
          <w:rFonts w:ascii="Times New Roman" w:eastAsia="Times New Roman" w:hAnsi="Times New Roman" w:cs="Times New Roman"/>
          <w:sz w:val="24"/>
          <w:szCs w:val="24"/>
          <w:lang w:eastAsia="es-ES"/>
        </w:rPr>
        <w:t>. De hecho, la pluralidad de temas que acoge implica una dificultad doble que debe conciliarse, a saber: la identificación de ese hilo conductor que atraviesa toda la obra y la reconstrucción, basada en un serio estudio epistolar, de su génesis y evolución</w:t>
      </w:r>
      <w:r w:rsidR="00A95A09">
        <w:rPr>
          <w:rStyle w:val="Refdenotaalpie"/>
          <w:rFonts w:ascii="Times New Roman" w:eastAsia="Times New Roman" w:hAnsi="Times New Roman" w:cs="Times New Roman"/>
          <w:sz w:val="24"/>
          <w:szCs w:val="24"/>
          <w:lang w:eastAsia="es-ES"/>
        </w:rPr>
        <w:footnoteReference w:id="4"/>
      </w:r>
      <w:r w:rsidRPr="005A519C">
        <w:rPr>
          <w:rFonts w:ascii="Times New Roman" w:eastAsia="Times New Roman" w:hAnsi="Times New Roman" w:cs="Times New Roman"/>
          <w:sz w:val="24"/>
          <w:szCs w:val="24"/>
          <w:lang w:eastAsia="es-ES"/>
        </w:rPr>
        <w:t xml:space="preserve">. En efecto, en </w:t>
      </w:r>
      <w:r w:rsidRPr="005A519C">
        <w:rPr>
          <w:rFonts w:ascii="Times New Roman" w:eastAsia="Times New Roman" w:hAnsi="Times New Roman" w:cs="Times New Roman"/>
          <w:i/>
          <w:iCs/>
          <w:sz w:val="24"/>
          <w:szCs w:val="24"/>
          <w:lang w:eastAsia="es-ES"/>
        </w:rPr>
        <w:t>Immanuel Kant. Crítica del Juicio</w:t>
      </w:r>
      <w:r w:rsidRPr="005A519C">
        <w:rPr>
          <w:rFonts w:ascii="Times New Roman" w:eastAsia="Times New Roman" w:hAnsi="Times New Roman" w:cs="Times New Roman"/>
          <w:sz w:val="24"/>
          <w:szCs w:val="24"/>
          <w:vertAlign w:val="superscript"/>
          <w:lang w:eastAsia="es-ES"/>
        </w:rPr>
        <w:footnoteReference w:id="5"/>
      </w:r>
      <w:r w:rsidRPr="005A519C">
        <w:rPr>
          <w:rFonts w:ascii="Times New Roman" w:eastAsia="Times New Roman" w:hAnsi="Times New Roman" w:cs="Times New Roman"/>
          <w:sz w:val="24"/>
          <w:szCs w:val="24"/>
          <w:lang w:eastAsia="es-ES"/>
        </w:rPr>
        <w:t xml:space="preserve">, el autor propone una tesis que conjuga ambas controversias, en la medida en que se afirma </w:t>
      </w:r>
      <w:r w:rsidRPr="005A519C">
        <w:rPr>
          <w:rFonts w:ascii="Times New Roman" w:eastAsia="Times New Roman" w:hAnsi="Times New Roman" w:cs="Times New Roman"/>
          <w:sz w:val="24"/>
          <w:szCs w:val="24"/>
          <w:lang w:eastAsia="es-ES"/>
        </w:rPr>
        <w:lastRenderedPageBreak/>
        <w:t xml:space="preserve">que el objeto de la </w:t>
      </w:r>
      <w:r w:rsidRPr="005A519C">
        <w:rPr>
          <w:rFonts w:ascii="Times New Roman" w:eastAsia="Times New Roman" w:hAnsi="Times New Roman" w:cs="Times New Roman"/>
          <w:i/>
          <w:iCs/>
          <w:sz w:val="24"/>
          <w:szCs w:val="24"/>
          <w:lang w:eastAsia="es-ES"/>
        </w:rPr>
        <w:t>Crítica</w:t>
      </w:r>
      <w:r w:rsidRPr="005A519C">
        <w:rPr>
          <w:rFonts w:ascii="Times New Roman" w:eastAsia="Times New Roman" w:hAnsi="Times New Roman" w:cs="Times New Roman"/>
          <w:sz w:val="24"/>
          <w:szCs w:val="24"/>
          <w:lang w:eastAsia="es-ES"/>
        </w:rPr>
        <w:t xml:space="preserve"> de 1790 se determina paralelamente a los avances de Kant en lógica, esto es, en las condiciones de posibilidad de las distintas clases de juicio. Pero, y dado que el filósofo prusiano concluye su examen de la razón con la culminación, tras la </w:t>
      </w:r>
      <w:r w:rsidRPr="005A519C">
        <w:rPr>
          <w:rFonts w:ascii="Times New Roman" w:eastAsia="Times New Roman" w:hAnsi="Times New Roman" w:cs="Times New Roman"/>
          <w:i/>
          <w:iCs/>
          <w:sz w:val="24"/>
          <w:szCs w:val="24"/>
          <w:lang w:eastAsia="es-ES"/>
        </w:rPr>
        <w:t>Crítica de la razón pura</w:t>
      </w:r>
      <w:r w:rsidRPr="005A519C">
        <w:rPr>
          <w:rFonts w:ascii="Times New Roman" w:eastAsia="Times New Roman" w:hAnsi="Times New Roman" w:cs="Times New Roman"/>
          <w:sz w:val="24"/>
          <w:szCs w:val="24"/>
          <w:lang w:eastAsia="es-ES"/>
        </w:rPr>
        <w:t xml:space="preserve">, de la </w:t>
      </w:r>
      <w:r w:rsidRPr="005A519C">
        <w:rPr>
          <w:rFonts w:ascii="Times New Roman" w:eastAsia="Times New Roman" w:hAnsi="Times New Roman" w:cs="Times New Roman"/>
          <w:i/>
          <w:iCs/>
          <w:sz w:val="24"/>
          <w:szCs w:val="24"/>
          <w:lang w:eastAsia="es-ES"/>
        </w:rPr>
        <w:t>Crítica de la razón práctica</w:t>
      </w:r>
      <w:r w:rsidRPr="005A519C">
        <w:rPr>
          <w:rFonts w:ascii="Times New Roman" w:eastAsia="Times New Roman" w:hAnsi="Times New Roman" w:cs="Times New Roman"/>
          <w:sz w:val="24"/>
          <w:szCs w:val="24"/>
          <w:lang w:eastAsia="es-ES"/>
        </w:rPr>
        <w:t xml:space="preserve"> en 1788, esta nueva tentativa de sistematizar el edificio del conocimiento no puede, en virtud de lo dicho, añadir nada al ámbito de la objetividad, de lo racional. Por ello, el marco teórico de la interpretación de Sgarbi consiste en el despliegue de la llamada </w:t>
      </w:r>
      <w:r w:rsidRPr="005A519C">
        <w:rPr>
          <w:rFonts w:ascii="Times New Roman" w:eastAsia="Times New Roman" w:hAnsi="Times New Roman" w:cs="Times New Roman"/>
          <w:i/>
          <w:iCs/>
          <w:sz w:val="24"/>
          <w:szCs w:val="24"/>
          <w:lang w:eastAsia="es-ES"/>
        </w:rPr>
        <w:t>lógica de lo irracional</w:t>
      </w:r>
      <w:r w:rsidRPr="005A519C">
        <w:rPr>
          <w:rFonts w:ascii="Times New Roman" w:eastAsia="Times New Roman" w:hAnsi="Times New Roman" w:cs="Times New Roman"/>
          <w:sz w:val="24"/>
          <w:szCs w:val="24"/>
          <w:lang w:eastAsia="es-ES"/>
        </w:rPr>
        <w:t>, lo cual enfatiza el carácter paradójico y huidizo de la empresa misma. Ahora bien, ¿qué significa en este contexto “irracional”? ¿Es “lógica de lo irracional” un o</w:t>
      </w:r>
      <w:r w:rsidR="00DC46D6">
        <w:rPr>
          <w:rFonts w:ascii="Times New Roman" w:eastAsia="Times New Roman" w:hAnsi="Times New Roman" w:cs="Times New Roman"/>
          <w:sz w:val="24"/>
          <w:szCs w:val="24"/>
          <w:lang w:eastAsia="es-ES"/>
        </w:rPr>
        <w:t>xímoron disfuncional o bien tie</w:t>
      </w:r>
      <w:r w:rsidRPr="005A519C">
        <w:rPr>
          <w:rFonts w:ascii="Times New Roman" w:eastAsia="Times New Roman" w:hAnsi="Times New Roman" w:cs="Times New Roman"/>
          <w:sz w:val="24"/>
          <w:szCs w:val="24"/>
          <w:lang w:eastAsia="es-ES"/>
        </w:rPr>
        <w:t xml:space="preserve">ne cierto alcance explicativo? El conocimiento irracional, objeto en consecuencia de una evaluación trascendental, es caracterizado con arreglo a dos propiedades fundamentales. En primer lugar, se considera que es inaccesible al conocimiento científico, ya que no se deja explicar por lo conceptual. Es, en labios de Hartmann, </w:t>
      </w:r>
      <w:r w:rsidRPr="005A519C">
        <w:rPr>
          <w:rFonts w:ascii="Times New Roman" w:eastAsia="Times New Roman" w:hAnsi="Times New Roman" w:cs="Times New Roman"/>
          <w:i/>
          <w:iCs/>
          <w:sz w:val="24"/>
          <w:szCs w:val="24"/>
          <w:lang w:eastAsia="es-ES"/>
        </w:rPr>
        <w:t>transinteligible</w:t>
      </w:r>
      <w:r w:rsidRPr="005A519C">
        <w:rPr>
          <w:rFonts w:ascii="Times New Roman" w:eastAsia="Times New Roman" w:hAnsi="Times New Roman" w:cs="Times New Roman"/>
          <w:sz w:val="24"/>
          <w:szCs w:val="24"/>
          <w:lang w:eastAsia="es-ES"/>
        </w:rPr>
        <w:t xml:space="preserve">. En segundo lugar, lo irracional es espontáneo, prerreflexivo: las facultades que lo posibilitan surgen al margen de todo esquema conceptual o prejuicio. Luego el asunto central de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xml:space="preserve"> no es sino la reflexión acerca de lo </w:t>
      </w:r>
      <w:r w:rsidRPr="005A519C">
        <w:rPr>
          <w:rFonts w:ascii="Times New Roman" w:eastAsia="Times New Roman" w:hAnsi="Times New Roman" w:cs="Times New Roman"/>
          <w:i/>
          <w:iCs/>
          <w:sz w:val="24"/>
          <w:szCs w:val="24"/>
          <w:lang w:eastAsia="es-ES"/>
        </w:rPr>
        <w:t>prediscursivo</w:t>
      </w:r>
      <w:r w:rsidRPr="005A519C">
        <w:rPr>
          <w:rFonts w:ascii="Times New Roman" w:eastAsia="Times New Roman" w:hAnsi="Times New Roman" w:cs="Times New Roman"/>
          <w:sz w:val="24"/>
          <w:szCs w:val="24"/>
          <w:lang w:eastAsia="es-ES"/>
        </w:rPr>
        <w:t xml:space="preserve"> que, sin herramientas objetivas, per</w:t>
      </w:r>
      <w:r w:rsidR="001256E5">
        <w:rPr>
          <w:rFonts w:ascii="Times New Roman" w:eastAsia="Times New Roman" w:hAnsi="Times New Roman" w:cs="Times New Roman"/>
          <w:sz w:val="24"/>
          <w:szCs w:val="24"/>
          <w:lang w:eastAsia="es-ES"/>
        </w:rPr>
        <w:t>sigue una utópica universalidad</w:t>
      </w:r>
      <w:r w:rsidRPr="005A519C">
        <w:rPr>
          <w:rFonts w:ascii="Times New Roman" w:eastAsia="Times New Roman" w:hAnsi="Times New Roman" w:cs="Times New Roman"/>
          <w:sz w:val="24"/>
          <w:szCs w:val="24"/>
          <w:lang w:eastAsia="es-ES"/>
        </w:rPr>
        <w:t xml:space="preserve">. En lo relativo a la estructura de la obra, tras la introducción y un recorrido histórico por la constitución de la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lo irracional es entendido en función de conceptos fundamentales como “espontaneidad” y “teleología”, finalizando con una</w:t>
      </w:r>
      <w:r w:rsidR="001256E5">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 xml:space="preserve">defensa de la posibilidad de experiencia sin determinación </w:t>
      </w:r>
      <w:r w:rsidR="001256E5" w:rsidRPr="005A519C">
        <w:rPr>
          <w:rFonts w:ascii="Times New Roman" w:eastAsia="Times New Roman" w:hAnsi="Times New Roman" w:cs="Times New Roman"/>
          <w:sz w:val="24"/>
          <w:szCs w:val="24"/>
          <w:lang w:eastAsia="es-ES"/>
        </w:rPr>
        <w:t>conceptual</w:t>
      </w:r>
      <w:r w:rsidR="001256E5">
        <w:rPr>
          <w:rStyle w:val="Refdenotaalpie"/>
          <w:rFonts w:ascii="Times New Roman" w:eastAsia="Times New Roman" w:hAnsi="Times New Roman" w:cs="Times New Roman"/>
          <w:sz w:val="24"/>
          <w:szCs w:val="24"/>
          <w:lang w:eastAsia="es-ES"/>
        </w:rPr>
        <w:footnoteReference w:id="6"/>
      </w:r>
      <w:r w:rsidR="001256E5">
        <w:rPr>
          <w:rFonts w:ascii="Times New Roman" w:eastAsia="Times New Roman" w:hAnsi="Times New Roman" w:cs="Times New Roman"/>
          <w:sz w:val="24"/>
          <w:szCs w:val="24"/>
          <w:lang w:eastAsia="es-ES"/>
        </w:rPr>
        <w:t>.</w:t>
      </w:r>
    </w:p>
    <w:p w:rsidR="005A519C" w:rsidRPr="005A519C" w:rsidRDefault="005A519C" w:rsidP="00612BA5">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 xml:space="preserve">Nuria Sánchez Madrid realiza, para la editorial Escolar y Mayo, la edición bilingüe de un escrito de Kant condenado durante un siglo a un ostracismo filosófico forzado. De hecho, el de Königsberg siempre mantuvo una relación de ambivalencia con su </w:t>
      </w:r>
      <w:r w:rsidRPr="005A519C">
        <w:rPr>
          <w:rFonts w:ascii="Times New Roman" w:eastAsia="Times New Roman" w:hAnsi="Times New Roman" w:cs="Times New Roman"/>
          <w:i/>
          <w:iCs/>
          <w:sz w:val="24"/>
          <w:szCs w:val="24"/>
          <w:lang w:eastAsia="es-ES"/>
        </w:rPr>
        <w:t>Primera Introducción</w:t>
      </w:r>
      <w:r w:rsidRPr="005A519C">
        <w:rPr>
          <w:rFonts w:ascii="Times New Roman" w:eastAsia="Times New Roman" w:hAnsi="Times New Roman" w:cs="Times New Roman"/>
          <w:sz w:val="24"/>
          <w:szCs w:val="24"/>
          <w:lang w:eastAsia="es-ES"/>
        </w:rPr>
        <w:t xml:space="preserve"> a la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xml:space="preserve">. “La </w:t>
      </w:r>
      <w:r w:rsidRPr="005A519C">
        <w:rPr>
          <w:rFonts w:ascii="Times New Roman" w:eastAsia="Times New Roman" w:hAnsi="Times New Roman" w:cs="Times New Roman"/>
          <w:i/>
          <w:iCs/>
          <w:sz w:val="24"/>
          <w:szCs w:val="24"/>
          <w:lang w:eastAsia="es-ES"/>
        </w:rPr>
        <w:t>Erste Einleitung</w:t>
      </w:r>
      <w:r w:rsidRPr="005A519C">
        <w:rPr>
          <w:rFonts w:ascii="Times New Roman" w:eastAsia="Times New Roman" w:hAnsi="Times New Roman" w:cs="Times New Roman"/>
          <w:sz w:val="24"/>
          <w:szCs w:val="24"/>
          <w:lang w:eastAsia="es-ES"/>
        </w:rPr>
        <w:t xml:space="preserve"> sólo podía presentarse a sí misma, es decir, servir a su autor de índice de un problema que aún no había recibido suficiente dilucida-ción. Como no podía ser de otro modo, el texto ni cuenta con un tono iniciático ni adolece de efectos analíticos que deban ser subsanados. Por el contrario, sigue de cerca como en pocas ocasiones el ritmo con que se </w:t>
      </w:r>
      <w:r w:rsidR="000D225A">
        <w:rPr>
          <w:rFonts w:ascii="Times New Roman" w:eastAsia="Times New Roman" w:hAnsi="Times New Roman" w:cs="Times New Roman"/>
          <w:sz w:val="24"/>
          <w:szCs w:val="24"/>
          <w:lang w:eastAsia="es-ES"/>
        </w:rPr>
        <w:t>va constituyendo un pensamiento</w:t>
      </w:r>
      <w:r w:rsidRPr="005A519C">
        <w:rPr>
          <w:rFonts w:ascii="Times New Roman" w:eastAsia="Times New Roman" w:hAnsi="Times New Roman" w:cs="Times New Roman"/>
          <w:sz w:val="24"/>
          <w:szCs w:val="24"/>
          <w:lang w:eastAsia="es-ES"/>
        </w:rPr>
        <w:t>”</w:t>
      </w:r>
      <w:r w:rsidRPr="005A519C">
        <w:rPr>
          <w:rFonts w:ascii="Times New Roman" w:eastAsia="Times New Roman" w:hAnsi="Times New Roman" w:cs="Times New Roman"/>
          <w:sz w:val="24"/>
          <w:szCs w:val="24"/>
          <w:vertAlign w:val="superscript"/>
          <w:lang w:eastAsia="es-ES"/>
        </w:rPr>
        <w:footnoteReference w:id="7"/>
      </w:r>
      <w:r w:rsidRPr="005A519C">
        <w:rPr>
          <w:rFonts w:ascii="Times New Roman" w:eastAsia="Times New Roman" w:hAnsi="Times New Roman" w:cs="Times New Roman"/>
          <w:sz w:val="24"/>
          <w:szCs w:val="24"/>
          <w:lang w:eastAsia="es-ES"/>
        </w:rPr>
        <w:t>. Así pues, esta introducción se construye para la autora como un diálogo de Kan</w:t>
      </w:r>
      <w:r w:rsidR="00B53CFD">
        <w:rPr>
          <w:rFonts w:ascii="Times New Roman" w:eastAsia="Times New Roman" w:hAnsi="Times New Roman" w:cs="Times New Roman"/>
          <w:sz w:val="24"/>
          <w:szCs w:val="24"/>
          <w:lang w:eastAsia="es-ES"/>
        </w:rPr>
        <w:t xml:space="preserve">t consigo mismo </w:t>
      </w:r>
      <w:r w:rsidRPr="005A519C">
        <w:rPr>
          <w:rFonts w:ascii="Times New Roman" w:eastAsia="Times New Roman" w:hAnsi="Times New Roman" w:cs="Times New Roman"/>
          <w:sz w:val="24"/>
          <w:szCs w:val="24"/>
          <w:lang w:eastAsia="es-ES"/>
        </w:rPr>
        <w:t xml:space="preserve">acerca del trasfondo de la tercera </w:t>
      </w:r>
      <w:r w:rsidRPr="005A519C">
        <w:rPr>
          <w:rFonts w:ascii="Times New Roman" w:eastAsia="Times New Roman" w:hAnsi="Times New Roman" w:cs="Times New Roman"/>
          <w:i/>
          <w:iCs/>
          <w:sz w:val="24"/>
          <w:szCs w:val="24"/>
          <w:lang w:eastAsia="es-ES"/>
        </w:rPr>
        <w:t>Crítica</w:t>
      </w:r>
      <w:r w:rsidRPr="005A519C">
        <w:rPr>
          <w:rFonts w:ascii="Times New Roman" w:eastAsia="Times New Roman" w:hAnsi="Times New Roman" w:cs="Times New Roman"/>
          <w:sz w:val="24"/>
          <w:szCs w:val="24"/>
          <w:lang w:eastAsia="es-ES"/>
        </w:rPr>
        <w:t xml:space="preserve">. Dicha reflexión es calificada como intensa, brillante y potente, mas simultáneamente como oscura, farragosa y autónoma: es esa clase de texto </w:t>
      </w:r>
      <w:r w:rsidRPr="005A519C">
        <w:rPr>
          <w:rFonts w:ascii="Times New Roman" w:eastAsia="Times New Roman" w:hAnsi="Times New Roman" w:cs="Times New Roman"/>
          <w:sz w:val="24"/>
          <w:szCs w:val="24"/>
          <w:lang w:eastAsia="es-ES"/>
        </w:rPr>
        <w:lastRenderedPageBreak/>
        <w:t>cuyo creador tiende a ocultar por considerarlo quizás demasiado íntimo</w:t>
      </w:r>
      <w:r w:rsidRPr="005A519C">
        <w:rPr>
          <w:rFonts w:ascii="Times New Roman" w:eastAsia="Times New Roman" w:hAnsi="Times New Roman" w:cs="Times New Roman"/>
          <w:sz w:val="24"/>
          <w:szCs w:val="24"/>
          <w:vertAlign w:val="superscript"/>
          <w:lang w:eastAsia="es-ES"/>
        </w:rPr>
        <w:footnoteReference w:id="8"/>
      </w:r>
      <w:r w:rsidRPr="005A519C">
        <w:rPr>
          <w:rFonts w:ascii="Times New Roman" w:eastAsia="Times New Roman" w:hAnsi="Times New Roman" w:cs="Times New Roman"/>
          <w:sz w:val="24"/>
          <w:szCs w:val="24"/>
          <w:lang w:eastAsia="es-ES"/>
        </w:rPr>
        <w:t>. No obstante, y aunque Kant publicara otra introducción diferente en 1790, lo cierto es que en 1792 aún pensaba en la primera como merecedora de interés. ¿Qué pensamiento la atraviesa, entonces, y en qué se justifica este hecho? Al margen de las precisiones de Kant s</w:t>
      </w:r>
      <w:r w:rsidR="00041524">
        <w:rPr>
          <w:rFonts w:ascii="Times New Roman" w:eastAsia="Times New Roman" w:hAnsi="Times New Roman" w:cs="Times New Roman"/>
          <w:sz w:val="24"/>
          <w:szCs w:val="24"/>
          <w:lang w:eastAsia="es-ES"/>
        </w:rPr>
        <w:t>obre la Filosofía, que pre</w:t>
      </w:r>
      <w:r w:rsidRPr="005A519C">
        <w:rPr>
          <w:rFonts w:ascii="Times New Roman" w:eastAsia="Times New Roman" w:hAnsi="Times New Roman" w:cs="Times New Roman"/>
          <w:sz w:val="24"/>
          <w:szCs w:val="24"/>
          <w:lang w:eastAsia="es-ES"/>
        </w:rPr>
        <w:t xml:space="preserve">tenden establecer una jerarquía de nuestras facultades superiores, la pregunta central que recorre la </w:t>
      </w:r>
      <w:r w:rsidRPr="005A519C">
        <w:rPr>
          <w:rFonts w:ascii="Times New Roman" w:eastAsia="Times New Roman" w:hAnsi="Times New Roman" w:cs="Times New Roman"/>
          <w:i/>
          <w:iCs/>
          <w:sz w:val="24"/>
          <w:szCs w:val="24"/>
          <w:lang w:eastAsia="es-ES"/>
        </w:rPr>
        <w:t>Erste Einleitung</w:t>
      </w:r>
      <w:r w:rsidRPr="005A519C">
        <w:rPr>
          <w:rFonts w:ascii="Times New Roman" w:eastAsia="Times New Roman" w:hAnsi="Times New Roman" w:cs="Times New Roman"/>
          <w:sz w:val="24"/>
          <w:szCs w:val="24"/>
          <w:lang w:eastAsia="es-ES"/>
        </w:rPr>
        <w:t xml:space="preserve">, como, por otro lado, también la </w:t>
      </w:r>
      <w:r w:rsidRPr="005A519C">
        <w:rPr>
          <w:rFonts w:ascii="Times New Roman" w:eastAsia="Times New Roman" w:hAnsi="Times New Roman" w:cs="Times New Roman"/>
          <w:i/>
          <w:iCs/>
          <w:sz w:val="24"/>
          <w:szCs w:val="24"/>
          <w:lang w:eastAsia="es-ES"/>
        </w:rPr>
        <w:t>Crítica del Juicio</w:t>
      </w:r>
      <w:r w:rsidRPr="005A519C">
        <w:rPr>
          <w:rFonts w:ascii="Times New Roman" w:eastAsia="Times New Roman" w:hAnsi="Times New Roman" w:cs="Times New Roman"/>
          <w:sz w:val="24"/>
          <w:szCs w:val="24"/>
          <w:lang w:eastAsia="es-ES"/>
        </w:rPr>
        <w:t xml:space="preserve">, interroga al sujeto trascendental por la posibilidad de la facultad de </w:t>
      </w:r>
      <w:r w:rsidRPr="005A519C">
        <w:rPr>
          <w:rFonts w:ascii="Times New Roman" w:eastAsia="Times New Roman" w:hAnsi="Times New Roman" w:cs="Times New Roman"/>
          <w:i/>
          <w:iCs/>
          <w:sz w:val="24"/>
          <w:szCs w:val="24"/>
          <w:lang w:eastAsia="es-ES"/>
        </w:rPr>
        <w:t>pensar</w:t>
      </w:r>
      <w:r w:rsidRPr="005A519C">
        <w:rPr>
          <w:rFonts w:ascii="Times New Roman" w:eastAsia="Times New Roman" w:hAnsi="Times New Roman" w:cs="Times New Roman"/>
          <w:sz w:val="24"/>
          <w:szCs w:val="24"/>
          <w:lang w:eastAsia="es-ES"/>
        </w:rPr>
        <w:t xml:space="preserve">. La idea de una </w:t>
      </w:r>
      <w:r w:rsidRPr="005A519C">
        <w:rPr>
          <w:rFonts w:ascii="Times New Roman" w:eastAsia="Times New Roman" w:hAnsi="Times New Roman" w:cs="Times New Roman"/>
          <w:i/>
          <w:iCs/>
          <w:sz w:val="24"/>
          <w:szCs w:val="24"/>
          <w:lang w:eastAsia="es-ES"/>
        </w:rPr>
        <w:t>técnica de la naturaleza</w:t>
      </w:r>
      <w:r w:rsidRPr="005A519C">
        <w:rPr>
          <w:rFonts w:ascii="Times New Roman" w:eastAsia="Times New Roman" w:hAnsi="Times New Roman" w:cs="Times New Roman"/>
          <w:sz w:val="24"/>
          <w:szCs w:val="24"/>
          <w:lang w:eastAsia="es-ES"/>
        </w:rPr>
        <w:t xml:space="preserve"> pretende ofrecer, aunque sólo se mencione una vez en la Introducción</w:t>
      </w:r>
      <w:r w:rsidRPr="005A519C">
        <w:rPr>
          <w:rFonts w:ascii="Times New Roman" w:eastAsia="Times New Roman" w:hAnsi="Times New Roman" w:cs="Times New Roman"/>
          <w:sz w:val="24"/>
          <w:szCs w:val="24"/>
          <w:vertAlign w:val="superscript"/>
          <w:lang w:eastAsia="es-ES"/>
        </w:rPr>
        <w:footnoteReference w:id="9"/>
      </w:r>
      <w:r w:rsidRPr="005A519C">
        <w:rPr>
          <w:rFonts w:ascii="Times New Roman" w:eastAsia="Times New Roman" w:hAnsi="Times New Roman" w:cs="Times New Roman"/>
          <w:sz w:val="24"/>
          <w:szCs w:val="24"/>
          <w:lang w:eastAsia="es-ES"/>
        </w:rPr>
        <w:t xml:space="preserve">, una respuesta a esto mismo, en tanto que se considera, en palabras de Nuria Sánchez, un principio </w:t>
      </w:r>
      <w:r w:rsidRPr="005A519C">
        <w:rPr>
          <w:rFonts w:ascii="Times New Roman" w:eastAsia="Times New Roman" w:hAnsi="Times New Roman" w:cs="Times New Roman"/>
          <w:i/>
          <w:iCs/>
          <w:sz w:val="24"/>
          <w:szCs w:val="24"/>
          <w:lang w:eastAsia="es-ES"/>
        </w:rPr>
        <w:t>crítico-trascendental</w:t>
      </w:r>
      <w:r w:rsidRPr="005A519C">
        <w:rPr>
          <w:rFonts w:ascii="Times New Roman" w:eastAsia="Times New Roman" w:hAnsi="Times New Roman" w:cs="Times New Roman"/>
          <w:sz w:val="24"/>
          <w:szCs w:val="24"/>
          <w:lang w:eastAsia="es-ES"/>
        </w:rPr>
        <w:t xml:space="preserve"> que permite reconducir a la unidad la multiplicidad de lo natural. Sin embargo, ello no es óbice para resaltar el carácter no objetivo de todo juicio técnico: esa conformidad espontánea emerge de la propia actividad subjetiva del juzgar. “Se ha descubierto que en ‘el primer cimiento de la razón’ aguarda una fuente retórica, tan inagotable como llamativamente selectiva, generado</w:t>
      </w:r>
      <w:r w:rsidR="00810518">
        <w:rPr>
          <w:rFonts w:ascii="Times New Roman" w:eastAsia="Times New Roman" w:hAnsi="Times New Roman" w:cs="Times New Roman"/>
          <w:sz w:val="24"/>
          <w:szCs w:val="24"/>
          <w:lang w:eastAsia="es-ES"/>
        </w:rPr>
        <w:t>ra de una hermenéutica de la na</w:t>
      </w:r>
      <w:r w:rsidRPr="005A519C">
        <w:rPr>
          <w:rFonts w:ascii="Times New Roman" w:eastAsia="Times New Roman" w:hAnsi="Times New Roman" w:cs="Times New Roman"/>
          <w:sz w:val="24"/>
          <w:szCs w:val="24"/>
          <w:lang w:eastAsia="es-ES"/>
        </w:rPr>
        <w:t>turaleza que fundamenta en último término la realidad objetiva de nuestros conceptos.”</w:t>
      </w:r>
      <w:r w:rsidRPr="005A519C">
        <w:rPr>
          <w:rFonts w:ascii="Times New Roman" w:eastAsia="Times New Roman" w:hAnsi="Times New Roman" w:cs="Times New Roman"/>
          <w:sz w:val="24"/>
          <w:szCs w:val="24"/>
          <w:vertAlign w:val="superscript"/>
          <w:lang w:eastAsia="es-ES"/>
        </w:rPr>
        <w:footnoteReference w:id="10"/>
      </w:r>
      <w:r w:rsidRPr="005A519C">
        <w:rPr>
          <w:rFonts w:ascii="Times New Roman" w:eastAsia="Times New Roman" w:hAnsi="Times New Roman" w:cs="Times New Roman"/>
          <w:sz w:val="24"/>
          <w:szCs w:val="24"/>
          <w:lang w:eastAsia="es-ES"/>
        </w:rPr>
        <w:t>. En cambio, y aun aceptando la solidez interpretativa de la hipótesis que sugiere la autora, la existencia de d</w:t>
      </w:r>
      <w:r w:rsidR="00041524">
        <w:rPr>
          <w:rFonts w:ascii="Times New Roman" w:eastAsia="Times New Roman" w:hAnsi="Times New Roman" w:cs="Times New Roman"/>
          <w:sz w:val="24"/>
          <w:szCs w:val="24"/>
          <w:lang w:eastAsia="es-ES"/>
        </w:rPr>
        <w:t xml:space="preserve">os introducciones ha suscitado </w:t>
      </w:r>
      <w:r w:rsidRPr="005A519C">
        <w:rPr>
          <w:rFonts w:ascii="Times New Roman" w:eastAsia="Times New Roman" w:hAnsi="Times New Roman" w:cs="Times New Roman"/>
          <w:sz w:val="24"/>
          <w:szCs w:val="24"/>
          <w:lang w:eastAsia="es-ES"/>
        </w:rPr>
        <w:t>una gran controversia. Esta polémica, que incluye el debate sobre los motivos que llevaron a Kant a rechazar su primer texto</w:t>
      </w:r>
      <w:r w:rsidRPr="005A519C">
        <w:rPr>
          <w:rFonts w:ascii="Times New Roman" w:eastAsia="Times New Roman" w:hAnsi="Times New Roman" w:cs="Times New Roman"/>
          <w:sz w:val="24"/>
          <w:szCs w:val="24"/>
          <w:vertAlign w:val="superscript"/>
          <w:lang w:eastAsia="es-ES"/>
        </w:rPr>
        <w:footnoteReference w:id="11"/>
      </w:r>
      <w:r w:rsidRPr="005A519C">
        <w:rPr>
          <w:rFonts w:ascii="Times New Roman" w:eastAsia="Times New Roman" w:hAnsi="Times New Roman" w:cs="Times New Roman"/>
          <w:sz w:val="24"/>
          <w:szCs w:val="24"/>
          <w:lang w:eastAsia="es-ES"/>
        </w:rPr>
        <w:t>, debe a mi juicio dejar paso al fructífero planteamiento de Nuria Sánchez, puesto que</w:t>
      </w:r>
      <w:r w:rsidR="00041524">
        <w:rPr>
          <w:rFonts w:ascii="Times New Roman" w:eastAsia="Times New Roman" w:hAnsi="Times New Roman" w:cs="Times New Roman"/>
          <w:sz w:val="24"/>
          <w:szCs w:val="24"/>
          <w:lang w:eastAsia="es-ES"/>
        </w:rPr>
        <w:t xml:space="preserve"> la</w:t>
      </w:r>
      <w:r w:rsidRPr="005A519C">
        <w:rPr>
          <w:rFonts w:ascii="Times New Roman" w:eastAsia="Times New Roman" w:hAnsi="Times New Roman" w:cs="Times New Roman"/>
          <w:sz w:val="24"/>
          <w:szCs w:val="24"/>
          <w:lang w:eastAsia="es-ES"/>
        </w:rPr>
        <w:t xml:space="preserve"> panorámica holista e integradora que nos sugiere permite recuperar la </w:t>
      </w:r>
      <w:r w:rsidRPr="005A519C">
        <w:rPr>
          <w:rFonts w:ascii="Times New Roman" w:eastAsia="Times New Roman" w:hAnsi="Times New Roman" w:cs="Times New Roman"/>
          <w:i/>
          <w:iCs/>
          <w:sz w:val="24"/>
          <w:szCs w:val="24"/>
          <w:lang w:eastAsia="es-ES"/>
        </w:rPr>
        <w:t>Erste Einleitung</w:t>
      </w:r>
      <w:r w:rsidRPr="005A519C">
        <w:rPr>
          <w:rFonts w:ascii="Times New Roman" w:eastAsia="Times New Roman" w:hAnsi="Times New Roman" w:cs="Times New Roman"/>
          <w:sz w:val="24"/>
          <w:szCs w:val="24"/>
          <w:lang w:eastAsia="es-ES"/>
        </w:rPr>
        <w:t xml:space="preserve"> de su destierro y devolverl</w:t>
      </w:r>
      <w:r w:rsidR="003A3A0C">
        <w:rPr>
          <w:rFonts w:ascii="Times New Roman" w:eastAsia="Times New Roman" w:hAnsi="Times New Roman" w:cs="Times New Roman"/>
          <w:sz w:val="24"/>
          <w:szCs w:val="24"/>
          <w:lang w:eastAsia="es-ES"/>
        </w:rPr>
        <w:t>e</w:t>
      </w:r>
      <w:r w:rsidRPr="005A519C">
        <w:rPr>
          <w:rFonts w:ascii="Times New Roman" w:eastAsia="Times New Roman" w:hAnsi="Times New Roman" w:cs="Times New Roman"/>
          <w:sz w:val="24"/>
          <w:szCs w:val="24"/>
          <w:lang w:eastAsia="es-ES"/>
        </w:rPr>
        <w:t xml:space="preserve"> un significado propio como punto de inflexión de la filosofía trascendent</w:t>
      </w:r>
      <w:r w:rsidR="009D1052">
        <w:rPr>
          <w:rFonts w:ascii="Times New Roman" w:eastAsia="Times New Roman" w:hAnsi="Times New Roman" w:cs="Times New Roman"/>
          <w:sz w:val="24"/>
          <w:szCs w:val="24"/>
          <w:lang w:eastAsia="es-ES"/>
        </w:rPr>
        <w:t>al. Así, en el resto de su ensa</w:t>
      </w:r>
      <w:r w:rsidRPr="005A519C">
        <w:rPr>
          <w:rFonts w:ascii="Times New Roman" w:eastAsia="Times New Roman" w:hAnsi="Times New Roman" w:cs="Times New Roman"/>
          <w:sz w:val="24"/>
          <w:szCs w:val="24"/>
          <w:lang w:eastAsia="es-ES"/>
        </w:rPr>
        <w:t>yo apreciamos un</w:t>
      </w:r>
      <w:r w:rsidR="003A3A0C">
        <w:rPr>
          <w:rFonts w:ascii="Times New Roman" w:eastAsia="Times New Roman" w:hAnsi="Times New Roman" w:cs="Times New Roman"/>
          <w:sz w:val="24"/>
          <w:szCs w:val="24"/>
          <w:lang w:eastAsia="es-ES"/>
        </w:rPr>
        <w:t xml:space="preserve"> desarrollo</w:t>
      </w:r>
      <w:r w:rsidRPr="005A519C">
        <w:rPr>
          <w:rFonts w:ascii="Times New Roman" w:eastAsia="Times New Roman" w:hAnsi="Times New Roman" w:cs="Times New Roman"/>
          <w:sz w:val="24"/>
          <w:szCs w:val="24"/>
          <w:lang w:eastAsia="es-ES"/>
        </w:rPr>
        <w:t xml:space="preserve"> de la idea de </w:t>
      </w:r>
      <w:r w:rsidRPr="005A519C">
        <w:rPr>
          <w:rFonts w:ascii="Times New Roman" w:eastAsia="Times New Roman" w:hAnsi="Times New Roman" w:cs="Times New Roman"/>
          <w:i/>
          <w:iCs/>
          <w:sz w:val="24"/>
          <w:szCs w:val="24"/>
          <w:lang w:eastAsia="es-ES"/>
        </w:rPr>
        <w:t>técnica de la naturaleza</w:t>
      </w:r>
      <w:r w:rsidRPr="005A519C">
        <w:rPr>
          <w:rFonts w:ascii="Times New Roman" w:eastAsia="Times New Roman" w:hAnsi="Times New Roman" w:cs="Times New Roman"/>
          <w:sz w:val="24"/>
          <w:szCs w:val="24"/>
          <w:lang w:eastAsia="es-ES"/>
        </w:rPr>
        <w:t>, sustentado por esa esencia cualitativa de lo conceptual y el sentimiento de felicidad mental que esta causa.</w:t>
      </w:r>
    </w:p>
    <w:p w:rsidR="00612BA5" w:rsidRPr="005A519C" w:rsidRDefault="005A519C" w:rsidP="00612BA5">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 xml:space="preserve">La </w:t>
      </w:r>
      <w:r w:rsidRPr="005A519C">
        <w:rPr>
          <w:rFonts w:ascii="Times New Roman" w:eastAsia="Times New Roman" w:hAnsi="Times New Roman" w:cs="Times New Roman"/>
          <w:i/>
          <w:iCs/>
          <w:sz w:val="24"/>
          <w:szCs w:val="24"/>
          <w:lang w:eastAsia="es-ES"/>
        </w:rPr>
        <w:t>Crítica del Juicio</w:t>
      </w:r>
      <w:r w:rsidRPr="005A519C">
        <w:rPr>
          <w:rFonts w:ascii="Times New Roman" w:eastAsia="Times New Roman" w:hAnsi="Times New Roman" w:cs="Times New Roman"/>
          <w:sz w:val="24"/>
          <w:szCs w:val="24"/>
          <w:lang w:eastAsia="es-ES"/>
        </w:rPr>
        <w:t xml:space="preserve"> brota, según Óscar Cubo Ugarte, de una necesidad inherente al propio criticismo kantiano: resulta imprescindible establecer un puente entre la esfera de </w:t>
      </w:r>
      <w:r w:rsidRPr="005A519C">
        <w:rPr>
          <w:rFonts w:ascii="Times New Roman" w:eastAsia="Times New Roman" w:hAnsi="Times New Roman" w:cs="Times New Roman"/>
          <w:sz w:val="24"/>
          <w:szCs w:val="24"/>
          <w:lang w:eastAsia="es-ES"/>
        </w:rPr>
        <w:lastRenderedPageBreak/>
        <w:t xml:space="preserve">la naturaleza, regulada por el entendimiento, y la esfera </w:t>
      </w:r>
      <w:r w:rsidRPr="005A519C">
        <w:rPr>
          <w:rFonts w:ascii="Times New Roman" w:eastAsia="Times New Roman" w:hAnsi="Times New Roman" w:cs="Times New Roman"/>
          <w:spacing w:val="-2"/>
          <w:sz w:val="24"/>
          <w:szCs w:val="24"/>
          <w:lang w:eastAsia="es-ES"/>
        </w:rPr>
        <w:t xml:space="preserve">de la </w:t>
      </w:r>
      <w:r w:rsidR="00DC46D6">
        <w:rPr>
          <w:rFonts w:ascii="Times New Roman" w:eastAsia="Times New Roman" w:hAnsi="Times New Roman" w:cs="Times New Roman"/>
          <w:sz w:val="24"/>
          <w:szCs w:val="24"/>
          <w:lang w:eastAsia="es-ES"/>
        </w:rPr>
        <w:t>libertad, legislada median</w:t>
      </w:r>
      <w:r w:rsidRPr="005A519C">
        <w:rPr>
          <w:rFonts w:ascii="Times New Roman" w:eastAsia="Times New Roman" w:hAnsi="Times New Roman" w:cs="Times New Roman"/>
          <w:sz w:val="24"/>
          <w:szCs w:val="24"/>
          <w:lang w:eastAsia="es-ES"/>
        </w:rPr>
        <w:t>te la razón. Es decir, si las facultades del ánimo humano se agotaran en las ya citadas, se comportarían como regiones aisladas, lo cual implica</w:t>
      </w:r>
      <w:r w:rsidR="003A3A0C">
        <w:rPr>
          <w:rFonts w:ascii="Times New Roman" w:eastAsia="Times New Roman" w:hAnsi="Times New Roman" w:cs="Times New Roman"/>
          <w:sz w:val="24"/>
          <w:szCs w:val="24"/>
          <w:lang w:eastAsia="es-ES"/>
        </w:rPr>
        <w:t>ría a su vez la imposibili</w:t>
      </w:r>
      <w:r w:rsidRPr="005A519C">
        <w:rPr>
          <w:rFonts w:ascii="Times New Roman" w:eastAsia="Times New Roman" w:hAnsi="Times New Roman" w:cs="Times New Roman"/>
          <w:sz w:val="24"/>
          <w:szCs w:val="24"/>
          <w:lang w:eastAsia="es-ES"/>
        </w:rPr>
        <w:t>dad de ejecutar el proyecto moral en el mundo fenoménico. Luego</w:t>
      </w:r>
      <w:r w:rsidR="003A3A0C">
        <w:rPr>
          <w:rFonts w:ascii="Times New Roman" w:eastAsia="Times New Roman" w:hAnsi="Times New Roman" w:cs="Times New Roman"/>
          <w:sz w:val="24"/>
          <w:szCs w:val="24"/>
          <w:lang w:eastAsia="es-ES"/>
        </w:rPr>
        <w:t>,</w:t>
      </w:r>
      <w:r w:rsidRPr="005A519C">
        <w:rPr>
          <w:rFonts w:ascii="Times New Roman" w:eastAsia="Times New Roman" w:hAnsi="Times New Roman" w:cs="Times New Roman"/>
          <w:sz w:val="24"/>
          <w:szCs w:val="24"/>
          <w:lang w:eastAsia="es-ES"/>
        </w:rPr>
        <w:t xml:space="preserve"> debe existir una facultad en nuestro equipamiento noético capaz de mediar entre di</w:t>
      </w:r>
      <w:r w:rsidR="003A3A0C">
        <w:rPr>
          <w:rFonts w:ascii="Times New Roman" w:eastAsia="Times New Roman" w:hAnsi="Times New Roman" w:cs="Times New Roman"/>
          <w:sz w:val="24"/>
          <w:szCs w:val="24"/>
          <w:lang w:eastAsia="es-ES"/>
        </w:rPr>
        <w:t>chos compartimentos, en la medi</w:t>
      </w:r>
      <w:r w:rsidRPr="005A519C">
        <w:rPr>
          <w:rFonts w:ascii="Times New Roman" w:eastAsia="Times New Roman" w:hAnsi="Times New Roman" w:cs="Times New Roman"/>
          <w:sz w:val="24"/>
          <w:szCs w:val="24"/>
          <w:lang w:eastAsia="es-ES"/>
        </w:rPr>
        <w:t xml:space="preserve">da en que su principio </w:t>
      </w:r>
      <w:r w:rsidRPr="005A519C">
        <w:rPr>
          <w:rFonts w:ascii="Times New Roman" w:eastAsia="Times New Roman" w:hAnsi="Times New Roman" w:cs="Times New Roman"/>
          <w:i/>
          <w:iCs/>
          <w:sz w:val="24"/>
          <w:szCs w:val="24"/>
          <w:lang w:eastAsia="es-ES"/>
        </w:rPr>
        <w:t>a priori</w:t>
      </w:r>
      <w:r w:rsidRPr="005A519C">
        <w:rPr>
          <w:rFonts w:ascii="Times New Roman" w:eastAsia="Times New Roman" w:hAnsi="Times New Roman" w:cs="Times New Roman"/>
          <w:sz w:val="24"/>
          <w:szCs w:val="24"/>
          <w:lang w:eastAsia="es-ES"/>
        </w:rPr>
        <w:t xml:space="preserve"> consiste en la </w:t>
      </w:r>
      <w:r w:rsidRPr="005A519C">
        <w:rPr>
          <w:rFonts w:ascii="Times New Roman" w:eastAsia="Times New Roman" w:hAnsi="Times New Roman" w:cs="Times New Roman"/>
          <w:i/>
          <w:iCs/>
          <w:sz w:val="24"/>
          <w:szCs w:val="24"/>
          <w:lang w:eastAsia="es-ES"/>
        </w:rPr>
        <w:t>finalidad de la naturaleza</w:t>
      </w:r>
      <w:r w:rsidRPr="005A519C">
        <w:rPr>
          <w:rFonts w:ascii="Times New Roman" w:eastAsia="Times New Roman" w:hAnsi="Times New Roman" w:cs="Times New Roman"/>
          <w:sz w:val="24"/>
          <w:szCs w:val="24"/>
          <w:lang w:eastAsia="es-ES"/>
        </w:rPr>
        <w:t>.</w:t>
      </w:r>
      <w:r w:rsidR="003A3A0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 xml:space="preserve">“A diferencia de los principios ‘objetivos’ del entendimiento y la razón, </w:t>
      </w:r>
      <w:r w:rsidRPr="005A519C">
        <w:rPr>
          <w:rFonts w:ascii="Times New Roman" w:eastAsia="Times New Roman" w:hAnsi="Times New Roman" w:cs="Times New Roman"/>
          <w:spacing w:val="-2"/>
          <w:sz w:val="24"/>
          <w:szCs w:val="24"/>
          <w:lang w:eastAsia="es-ES"/>
        </w:rPr>
        <w:t xml:space="preserve">este principio de la finalidad de la </w:t>
      </w:r>
      <w:r w:rsidRPr="005A519C">
        <w:rPr>
          <w:rFonts w:ascii="Times New Roman" w:eastAsia="Times New Roman" w:hAnsi="Times New Roman" w:cs="Times New Roman"/>
          <w:sz w:val="24"/>
          <w:szCs w:val="24"/>
          <w:lang w:eastAsia="es-ES"/>
        </w:rPr>
        <w:t xml:space="preserve">naturaleza remite, se aplica, se refiere a la constitución </w:t>
      </w:r>
      <w:r w:rsidR="00DC46D6">
        <w:rPr>
          <w:rFonts w:ascii="Times New Roman" w:eastAsia="Times New Roman" w:hAnsi="Times New Roman" w:cs="Times New Roman"/>
          <w:sz w:val="24"/>
          <w:szCs w:val="24"/>
          <w:lang w:eastAsia="es-ES"/>
        </w:rPr>
        <w:t>empírica de la naturaleza y per</w:t>
      </w:r>
      <w:r w:rsidRPr="005A519C">
        <w:rPr>
          <w:rFonts w:ascii="Times New Roman" w:eastAsia="Times New Roman" w:hAnsi="Times New Roman" w:cs="Times New Roman"/>
          <w:sz w:val="24"/>
          <w:szCs w:val="24"/>
          <w:lang w:eastAsia="es-ES"/>
        </w:rPr>
        <w:t xml:space="preserve">mite responder afirmativamente a la cuestión de si la naturaleza es apta o favorable para el ejercicio teleológico del arbitrio humano. Con ello, se garantiza no sólo la posibilidad real del desarrollo ‘técnico’ del hombre, sino también la </w:t>
      </w:r>
      <w:r w:rsidRPr="005A519C">
        <w:rPr>
          <w:rFonts w:ascii="Times New Roman" w:eastAsia="Times New Roman" w:hAnsi="Times New Roman" w:cs="Times New Roman"/>
          <w:i/>
          <w:iCs/>
          <w:sz w:val="24"/>
          <w:szCs w:val="24"/>
          <w:lang w:eastAsia="es-ES"/>
        </w:rPr>
        <w:t>teleología moral</w:t>
      </w:r>
      <w:r w:rsidRPr="005A519C">
        <w:rPr>
          <w:rFonts w:ascii="Times New Roman" w:eastAsia="Times New Roman" w:hAnsi="Times New Roman" w:cs="Times New Roman"/>
          <w:sz w:val="24"/>
          <w:szCs w:val="24"/>
          <w:lang w:eastAsia="es-ES"/>
        </w:rPr>
        <w:t xml:space="preserve"> de la razón”</w:t>
      </w:r>
      <w:r w:rsidRPr="005A519C">
        <w:rPr>
          <w:rFonts w:ascii="Times New Roman" w:eastAsia="Times New Roman" w:hAnsi="Times New Roman" w:cs="Times New Roman"/>
          <w:sz w:val="24"/>
          <w:szCs w:val="24"/>
          <w:vertAlign w:val="superscript"/>
          <w:lang w:eastAsia="es-ES"/>
        </w:rPr>
        <w:footnoteReference w:id="12"/>
      </w:r>
      <w:r w:rsidRPr="005A519C">
        <w:rPr>
          <w:rFonts w:ascii="Times New Roman" w:eastAsia="Times New Roman" w:hAnsi="Times New Roman" w:cs="Times New Roman"/>
          <w:sz w:val="24"/>
          <w:szCs w:val="24"/>
          <w:lang w:eastAsia="es-ES"/>
        </w:rPr>
        <w:t xml:space="preserve">. El descubrimiento de que el Juicio no se encuentra, entonces, determinado por las reglas de los conceptos puros o del imperativo categórico, constituye para el autor el </w:t>
      </w:r>
      <w:r w:rsidRPr="005A519C">
        <w:rPr>
          <w:rFonts w:ascii="Times New Roman" w:eastAsia="Times New Roman" w:hAnsi="Times New Roman" w:cs="Times New Roman"/>
          <w:i/>
          <w:iCs/>
          <w:sz w:val="24"/>
          <w:szCs w:val="24"/>
          <w:lang w:eastAsia="es-ES"/>
        </w:rPr>
        <w:t>novum</w:t>
      </w:r>
      <w:r w:rsidRPr="005A519C">
        <w:rPr>
          <w:rFonts w:ascii="Times New Roman" w:eastAsia="Times New Roman" w:hAnsi="Times New Roman" w:cs="Times New Roman"/>
          <w:sz w:val="24"/>
          <w:szCs w:val="24"/>
          <w:lang w:eastAsia="es-ES"/>
        </w:rPr>
        <w:t xml:space="preserve"> de la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De modo que esa autonomía subjetiva que el prusi</w:t>
      </w:r>
      <w:r w:rsidR="00DC46D6">
        <w:rPr>
          <w:rFonts w:ascii="Times New Roman" w:eastAsia="Times New Roman" w:hAnsi="Times New Roman" w:cs="Times New Roman"/>
          <w:sz w:val="24"/>
          <w:szCs w:val="24"/>
          <w:lang w:eastAsia="es-ES"/>
        </w:rPr>
        <w:t>ano otorga a cierto tipo de juz</w:t>
      </w:r>
      <w:r w:rsidRPr="005A519C">
        <w:rPr>
          <w:rFonts w:ascii="Times New Roman" w:eastAsia="Times New Roman" w:hAnsi="Times New Roman" w:cs="Times New Roman"/>
          <w:sz w:val="24"/>
          <w:szCs w:val="24"/>
          <w:lang w:eastAsia="es-ES"/>
        </w:rPr>
        <w:t>gar, puede legítimamente catalogarse no ya como una radicalización hasta el extremo de la revolución copernicana (en palabras de Marco Sgarbi) sino como un “</w:t>
      </w:r>
      <w:r w:rsidRPr="005A519C">
        <w:rPr>
          <w:rFonts w:ascii="Times New Roman" w:eastAsia="Times New Roman" w:hAnsi="Times New Roman" w:cs="Times New Roman"/>
          <w:i/>
          <w:iCs/>
          <w:sz w:val="24"/>
          <w:szCs w:val="24"/>
          <w:lang w:eastAsia="es-ES"/>
        </w:rPr>
        <w:t>giro subjetivo</w:t>
      </w:r>
      <w:r w:rsidRPr="005A519C">
        <w:rPr>
          <w:rFonts w:ascii="Times New Roman" w:eastAsia="Times New Roman" w:hAnsi="Times New Roman" w:cs="Times New Roman"/>
          <w:sz w:val="24"/>
          <w:szCs w:val="24"/>
          <w:lang w:eastAsia="es-ES"/>
        </w:rPr>
        <w:t>” o “</w:t>
      </w:r>
      <w:r w:rsidRPr="005A519C">
        <w:rPr>
          <w:rFonts w:ascii="Times New Roman" w:eastAsia="Times New Roman" w:hAnsi="Times New Roman" w:cs="Times New Roman"/>
          <w:i/>
          <w:iCs/>
          <w:sz w:val="24"/>
          <w:szCs w:val="24"/>
          <w:lang w:eastAsia="es-ES"/>
        </w:rPr>
        <w:t>segunda revolución</w:t>
      </w:r>
      <w:r w:rsidRPr="005A519C">
        <w:rPr>
          <w:rFonts w:ascii="Times New Roman" w:eastAsia="Times New Roman" w:hAnsi="Times New Roman" w:cs="Times New Roman"/>
          <w:sz w:val="24"/>
          <w:szCs w:val="24"/>
          <w:lang w:eastAsia="es-ES"/>
        </w:rPr>
        <w:t xml:space="preserve">” tan decisiva como la primera. Por tanto, el propósito del </w:t>
      </w:r>
      <w:r w:rsidR="00157D66">
        <w:rPr>
          <w:rFonts w:ascii="Times New Roman" w:eastAsia="Times New Roman" w:hAnsi="Times New Roman" w:cs="Times New Roman"/>
          <w:sz w:val="24"/>
          <w:szCs w:val="24"/>
          <w:lang w:eastAsia="es-ES"/>
        </w:rPr>
        <w:t xml:space="preserve">volumen </w:t>
      </w:r>
      <w:r w:rsidRPr="005A519C">
        <w:rPr>
          <w:rFonts w:ascii="Times New Roman" w:eastAsia="Times New Roman" w:hAnsi="Times New Roman" w:cs="Times New Roman"/>
          <w:sz w:val="24"/>
          <w:szCs w:val="24"/>
          <w:lang w:eastAsia="es-ES"/>
        </w:rPr>
        <w:t xml:space="preserve">de Óscar Cubo, </w:t>
      </w:r>
      <w:r w:rsidRPr="005A519C">
        <w:rPr>
          <w:rFonts w:ascii="Times New Roman" w:eastAsia="Times New Roman" w:hAnsi="Times New Roman" w:cs="Times New Roman"/>
          <w:i/>
          <w:iCs/>
          <w:sz w:val="24"/>
          <w:szCs w:val="24"/>
          <w:lang w:eastAsia="es-ES"/>
        </w:rPr>
        <w:t>Kant. Sentido común y subjetividad</w:t>
      </w:r>
      <w:r w:rsidRPr="005A519C">
        <w:rPr>
          <w:rFonts w:ascii="Times New Roman" w:eastAsia="Times New Roman" w:hAnsi="Times New Roman" w:cs="Times New Roman"/>
          <w:sz w:val="24"/>
          <w:szCs w:val="24"/>
          <w:lang w:eastAsia="es-ES"/>
        </w:rPr>
        <w:t xml:space="preserve">, no es sino un riguroso desarrollo de la cuestión de la subjetividad en la última crítica. Para ello, resulta necesario señalar que sobre dicha subjetividad no es posible, a diferencia de lo </w:t>
      </w:r>
      <w:r w:rsidR="00DC46D6">
        <w:rPr>
          <w:rFonts w:ascii="Times New Roman" w:eastAsia="Times New Roman" w:hAnsi="Times New Roman" w:cs="Times New Roman"/>
          <w:sz w:val="24"/>
          <w:szCs w:val="24"/>
          <w:lang w:eastAsia="es-ES"/>
        </w:rPr>
        <w:t>que ocurre en el plano de la na</w:t>
      </w:r>
      <w:r w:rsidRPr="005A519C">
        <w:rPr>
          <w:rFonts w:ascii="Times New Roman" w:eastAsia="Times New Roman" w:hAnsi="Times New Roman" w:cs="Times New Roman"/>
          <w:sz w:val="24"/>
          <w:szCs w:val="24"/>
          <w:lang w:eastAsia="es-ES"/>
        </w:rPr>
        <w:t>turaleza y de la libertad</w:t>
      </w:r>
      <w:r w:rsidRPr="005A519C">
        <w:rPr>
          <w:rFonts w:ascii="Times New Roman" w:eastAsia="Times New Roman" w:hAnsi="Times New Roman" w:cs="Times New Roman"/>
          <w:sz w:val="24"/>
          <w:szCs w:val="24"/>
          <w:vertAlign w:val="superscript"/>
          <w:lang w:eastAsia="es-ES"/>
        </w:rPr>
        <w:footnoteReference w:id="13"/>
      </w:r>
      <w:r w:rsidRPr="005A519C">
        <w:rPr>
          <w:rFonts w:ascii="Times New Roman" w:eastAsia="Times New Roman" w:hAnsi="Times New Roman" w:cs="Times New Roman"/>
          <w:sz w:val="24"/>
          <w:szCs w:val="24"/>
          <w:lang w:eastAsia="es-ES"/>
        </w:rPr>
        <w:t xml:space="preserve">, construir metafísica alguna y que, además, el despliegue de la misma depende de la distinción entre el </w:t>
      </w:r>
      <w:r w:rsidRPr="005A519C">
        <w:rPr>
          <w:rFonts w:ascii="Times New Roman" w:eastAsia="Times New Roman" w:hAnsi="Times New Roman" w:cs="Times New Roman"/>
          <w:i/>
          <w:iCs/>
          <w:sz w:val="24"/>
          <w:szCs w:val="24"/>
          <w:lang w:eastAsia="es-ES"/>
        </w:rPr>
        <w:t>uso reflexionante</w:t>
      </w:r>
      <w:r w:rsidRPr="005A519C">
        <w:rPr>
          <w:rFonts w:ascii="Times New Roman" w:eastAsia="Times New Roman" w:hAnsi="Times New Roman" w:cs="Times New Roman"/>
          <w:sz w:val="24"/>
          <w:szCs w:val="24"/>
          <w:lang w:eastAsia="es-ES"/>
        </w:rPr>
        <w:t xml:space="preserve"> y el </w:t>
      </w:r>
      <w:r w:rsidRPr="005A519C">
        <w:rPr>
          <w:rFonts w:ascii="Times New Roman" w:eastAsia="Times New Roman" w:hAnsi="Times New Roman" w:cs="Times New Roman"/>
          <w:i/>
          <w:iCs/>
          <w:sz w:val="24"/>
          <w:szCs w:val="24"/>
          <w:lang w:eastAsia="es-ES"/>
        </w:rPr>
        <w:t>uso determinante</w:t>
      </w:r>
      <w:r w:rsidR="00DC46D6">
        <w:rPr>
          <w:rFonts w:ascii="Times New Roman" w:eastAsia="Times New Roman" w:hAnsi="Times New Roman" w:cs="Times New Roman"/>
          <w:sz w:val="24"/>
          <w:szCs w:val="24"/>
          <w:lang w:eastAsia="es-ES"/>
        </w:rPr>
        <w:t xml:space="preserve"> de la fa</w:t>
      </w:r>
      <w:r w:rsidRPr="005A519C">
        <w:rPr>
          <w:rFonts w:ascii="Times New Roman" w:eastAsia="Times New Roman" w:hAnsi="Times New Roman" w:cs="Times New Roman"/>
          <w:sz w:val="24"/>
          <w:szCs w:val="24"/>
          <w:lang w:eastAsia="es-ES"/>
        </w:rPr>
        <w:t xml:space="preserve">cultad denominada “Juicio”. </w:t>
      </w:r>
      <w:r w:rsidR="001173B1">
        <w:rPr>
          <w:rFonts w:ascii="Times New Roman" w:eastAsia="Times New Roman" w:hAnsi="Times New Roman" w:cs="Times New Roman"/>
          <w:sz w:val="24"/>
          <w:szCs w:val="24"/>
          <w:lang w:eastAsia="es-ES"/>
        </w:rPr>
        <w:t>H</w:t>
      </w:r>
      <w:r w:rsidRPr="005A519C">
        <w:rPr>
          <w:rFonts w:ascii="Times New Roman" w:eastAsia="Times New Roman" w:hAnsi="Times New Roman" w:cs="Times New Roman"/>
          <w:sz w:val="24"/>
          <w:szCs w:val="24"/>
          <w:lang w:eastAsia="es-ES"/>
        </w:rPr>
        <w:t xml:space="preserve">ay que precisar que el juicio reflexionante puede </w:t>
      </w:r>
      <w:r w:rsidR="00157D66">
        <w:rPr>
          <w:rFonts w:ascii="Times New Roman" w:eastAsia="Times New Roman" w:hAnsi="Times New Roman" w:cs="Times New Roman"/>
          <w:sz w:val="24"/>
          <w:szCs w:val="24"/>
          <w:lang w:eastAsia="es-ES"/>
        </w:rPr>
        <w:t>realizarse en un sentido lógico</w:t>
      </w:r>
      <w:r w:rsidRPr="005A519C">
        <w:rPr>
          <w:rFonts w:ascii="Times New Roman" w:eastAsia="Times New Roman" w:hAnsi="Times New Roman" w:cs="Times New Roman"/>
          <w:sz w:val="24"/>
          <w:szCs w:val="24"/>
          <w:lang w:eastAsia="es-ES"/>
        </w:rPr>
        <w:t xml:space="preserve"> que lo conecta con las tesis de Sgarbi y Sánchez Madrid, y en un sentido estético, ligado obviamente a la interpretación tradicional. Sin embargo, es su énfasis en el carácter trascendental del ya citado principio subjetivo </w:t>
      </w:r>
      <w:r w:rsidRPr="005A519C">
        <w:rPr>
          <w:rFonts w:ascii="Times New Roman" w:eastAsia="Times New Roman" w:hAnsi="Times New Roman" w:cs="Times New Roman"/>
          <w:i/>
          <w:iCs/>
          <w:sz w:val="24"/>
          <w:szCs w:val="24"/>
          <w:lang w:eastAsia="es-ES"/>
        </w:rPr>
        <w:t>a priori</w:t>
      </w:r>
      <w:r w:rsidRPr="005A519C">
        <w:rPr>
          <w:rFonts w:ascii="Times New Roman" w:eastAsia="Times New Roman" w:hAnsi="Times New Roman" w:cs="Times New Roman"/>
          <w:sz w:val="24"/>
          <w:szCs w:val="24"/>
          <w:lang w:eastAsia="es-ES"/>
        </w:rPr>
        <w:t xml:space="preserve"> lo que imprime a su lectura la hechura hermenéutica de la que carece la segunda. Así pues, esta monografía se estructura en tres grandes bloques, a saber: la presentación sistemática de la </w:t>
      </w:r>
      <w:r w:rsidRPr="005A519C">
        <w:rPr>
          <w:rFonts w:ascii="Times New Roman" w:eastAsia="Times New Roman" w:hAnsi="Times New Roman" w:cs="Times New Roman"/>
          <w:i/>
          <w:iCs/>
          <w:sz w:val="24"/>
          <w:szCs w:val="24"/>
          <w:lang w:eastAsia="es-ES"/>
        </w:rPr>
        <w:t>Crítica del Juicio</w:t>
      </w:r>
      <w:r w:rsidRPr="005A519C">
        <w:rPr>
          <w:rFonts w:ascii="Times New Roman" w:eastAsia="Times New Roman" w:hAnsi="Times New Roman" w:cs="Times New Roman"/>
          <w:sz w:val="24"/>
          <w:szCs w:val="24"/>
          <w:lang w:eastAsia="es-ES"/>
        </w:rPr>
        <w:t xml:space="preserve">, estudiada desde la propia lógica; la función del </w:t>
      </w:r>
      <w:r w:rsidRPr="005A519C">
        <w:rPr>
          <w:rFonts w:ascii="Times New Roman" w:eastAsia="Times New Roman" w:hAnsi="Times New Roman" w:cs="Times New Roman"/>
          <w:i/>
          <w:iCs/>
          <w:sz w:val="24"/>
          <w:szCs w:val="24"/>
          <w:lang w:eastAsia="es-ES"/>
        </w:rPr>
        <w:t>sensus communis</w:t>
      </w:r>
      <w:r w:rsidRPr="005A519C">
        <w:rPr>
          <w:rFonts w:ascii="Times New Roman" w:eastAsia="Times New Roman" w:hAnsi="Times New Roman" w:cs="Times New Roman"/>
          <w:sz w:val="24"/>
          <w:szCs w:val="24"/>
          <w:lang w:eastAsia="es-ES"/>
        </w:rPr>
        <w:t xml:space="preserve"> en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xml:space="preserve">, centrada en los juicios estéticos puros; y, por último, una </w:t>
      </w:r>
      <w:r w:rsidRPr="005A519C">
        <w:rPr>
          <w:rFonts w:ascii="Times New Roman" w:eastAsia="Times New Roman" w:hAnsi="Times New Roman" w:cs="Times New Roman"/>
          <w:i/>
          <w:iCs/>
          <w:sz w:val="24"/>
          <w:szCs w:val="24"/>
          <w:lang w:eastAsia="es-ES"/>
        </w:rPr>
        <w:t xml:space="preserve">cartografía </w:t>
      </w:r>
      <w:r w:rsidRPr="005A519C">
        <w:rPr>
          <w:rFonts w:ascii="Times New Roman" w:eastAsia="Times New Roman" w:hAnsi="Times New Roman" w:cs="Times New Roman"/>
          <w:sz w:val="24"/>
          <w:szCs w:val="24"/>
          <w:lang w:eastAsia="es-ES"/>
        </w:rPr>
        <w:t>y</w:t>
      </w:r>
      <w:r w:rsidR="00985E29">
        <w:rPr>
          <w:rFonts w:ascii="Times New Roman" w:eastAsia="Times New Roman" w:hAnsi="Times New Roman" w:cs="Times New Roman"/>
          <w:i/>
          <w:iCs/>
          <w:sz w:val="24"/>
          <w:szCs w:val="24"/>
          <w:lang w:eastAsia="es-ES"/>
        </w:rPr>
        <w:t xml:space="preserve"> genealo</w:t>
      </w:r>
      <w:r w:rsidRPr="005A519C">
        <w:rPr>
          <w:rFonts w:ascii="Times New Roman" w:eastAsia="Times New Roman" w:hAnsi="Times New Roman" w:cs="Times New Roman"/>
          <w:i/>
          <w:iCs/>
          <w:sz w:val="24"/>
          <w:szCs w:val="24"/>
          <w:lang w:eastAsia="es-ES"/>
        </w:rPr>
        <w:t>gía</w:t>
      </w:r>
      <w:r w:rsidRPr="005A519C">
        <w:rPr>
          <w:rFonts w:ascii="Times New Roman" w:eastAsia="Times New Roman" w:hAnsi="Times New Roman" w:cs="Times New Roman"/>
          <w:sz w:val="24"/>
          <w:szCs w:val="24"/>
          <w:lang w:eastAsia="es-ES"/>
        </w:rPr>
        <w:t xml:space="preserve"> del ánimo humano que concluye con un esbozo de </w:t>
      </w:r>
      <w:r w:rsidR="00612BA5">
        <w:rPr>
          <w:rFonts w:ascii="Times New Roman" w:eastAsia="Times New Roman" w:hAnsi="Times New Roman" w:cs="Times New Roman"/>
          <w:sz w:val="24"/>
          <w:szCs w:val="24"/>
          <w:lang w:eastAsia="es-ES"/>
        </w:rPr>
        <w:t>una</w:t>
      </w:r>
      <w:r w:rsidRPr="005A519C">
        <w:rPr>
          <w:rFonts w:ascii="Times New Roman" w:eastAsia="Times New Roman" w:hAnsi="Times New Roman" w:cs="Times New Roman"/>
          <w:sz w:val="24"/>
          <w:szCs w:val="24"/>
          <w:lang w:eastAsia="es-ES"/>
        </w:rPr>
        <w:t xml:space="preserve"> intersubjetividad </w:t>
      </w:r>
      <w:r w:rsidR="00612BA5">
        <w:rPr>
          <w:rFonts w:ascii="Times New Roman" w:eastAsia="Times New Roman" w:hAnsi="Times New Roman" w:cs="Times New Roman"/>
          <w:sz w:val="24"/>
          <w:szCs w:val="24"/>
          <w:lang w:eastAsia="es-ES"/>
        </w:rPr>
        <w:t>kantiana.</w:t>
      </w:r>
    </w:p>
    <w:p w:rsidR="00727CBC" w:rsidRPr="00C93ACA" w:rsidRDefault="007C660E" w:rsidP="00C93ACA">
      <w:pPr>
        <w:spacing w:after="0"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II</w:t>
      </w:r>
      <w:r w:rsidR="00C93ACA" w:rsidRPr="00C93ACA">
        <w:rPr>
          <w:rFonts w:ascii="Times New Roman" w:eastAsia="Times New Roman" w:hAnsi="Times New Roman" w:cs="Times New Roman"/>
          <w:b/>
          <w:sz w:val="24"/>
          <w:szCs w:val="24"/>
          <w:lang w:eastAsia="es-ES"/>
        </w:rPr>
        <w:t>. El cierre subjetivo de la filosofía trascendental: autonomía y reflexión.</w:t>
      </w:r>
    </w:p>
    <w:p w:rsidR="00157D66" w:rsidRPr="005A519C" w:rsidRDefault="005A519C" w:rsidP="00612BA5">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La tesis de que la</w:t>
      </w:r>
      <w:r w:rsidRPr="005A519C">
        <w:rPr>
          <w:rFonts w:ascii="Times New Roman" w:eastAsia="Times New Roman" w:hAnsi="Times New Roman" w:cs="Times New Roman"/>
          <w:i/>
          <w:iCs/>
          <w:sz w:val="24"/>
          <w:szCs w:val="24"/>
          <w:lang w:eastAsia="es-ES"/>
        </w:rPr>
        <w:t xml:space="preserve"> Crítica del Juicio </w:t>
      </w:r>
      <w:r w:rsidRPr="005A519C">
        <w:rPr>
          <w:rFonts w:ascii="Times New Roman" w:eastAsia="Times New Roman" w:hAnsi="Times New Roman" w:cs="Times New Roman"/>
          <w:sz w:val="24"/>
          <w:szCs w:val="24"/>
          <w:lang w:eastAsia="es-ES"/>
        </w:rPr>
        <w:t>sobrepasa los límites de una filosofía del arte se sustenta, en primer lugar, en los escritos epistolares del propio Kant. En efecto, en 1770 transmite a Herz la intención de reconducir sus investigaciones sobre una “crítica del gusto”</w:t>
      </w:r>
      <w:r w:rsidR="00157D66">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 xml:space="preserve">hacia un proyecto de mayor alcance relacionado al mismo tiempo con la moral. Ahora bien, </w:t>
      </w:r>
      <w:r w:rsidR="00612BA5">
        <w:rPr>
          <w:rFonts w:ascii="Times New Roman" w:eastAsia="Times New Roman" w:hAnsi="Times New Roman" w:cs="Times New Roman"/>
          <w:sz w:val="24"/>
          <w:szCs w:val="24"/>
          <w:lang w:eastAsia="es-ES"/>
        </w:rPr>
        <w:t xml:space="preserve">¿existe </w:t>
      </w:r>
      <w:r w:rsidR="00B53CFD">
        <w:rPr>
          <w:rFonts w:ascii="Times New Roman" w:eastAsia="Times New Roman" w:hAnsi="Times New Roman" w:cs="Times New Roman"/>
          <w:sz w:val="24"/>
          <w:szCs w:val="24"/>
          <w:lang w:eastAsia="es-ES"/>
        </w:rPr>
        <w:t>una</w:t>
      </w:r>
      <w:r w:rsidR="00612BA5">
        <w:rPr>
          <w:rFonts w:ascii="Times New Roman" w:eastAsia="Times New Roman" w:hAnsi="Times New Roman" w:cs="Times New Roman"/>
          <w:sz w:val="24"/>
          <w:szCs w:val="24"/>
          <w:lang w:eastAsia="es-ES"/>
        </w:rPr>
        <w:t xml:space="preserve"> reconducción</w:t>
      </w:r>
      <w:r w:rsidR="00B53CFD">
        <w:rPr>
          <w:rFonts w:ascii="Times New Roman" w:eastAsia="Times New Roman" w:hAnsi="Times New Roman" w:cs="Times New Roman"/>
          <w:sz w:val="24"/>
          <w:szCs w:val="24"/>
          <w:lang w:eastAsia="es-ES"/>
        </w:rPr>
        <w:t xml:space="preserve"> genuina en el proyecto kantiano</w:t>
      </w:r>
      <w:r w:rsidR="00612BA5">
        <w:rPr>
          <w:rFonts w:ascii="Times New Roman" w:eastAsia="Times New Roman" w:hAnsi="Times New Roman" w:cs="Times New Roman"/>
          <w:sz w:val="24"/>
          <w:szCs w:val="24"/>
          <w:lang w:eastAsia="es-ES"/>
        </w:rPr>
        <w:t>? ¿</w:t>
      </w:r>
      <w:r w:rsidR="00612BA5" w:rsidRPr="005A519C">
        <w:rPr>
          <w:rFonts w:ascii="Times New Roman" w:eastAsia="Times New Roman" w:hAnsi="Times New Roman" w:cs="Times New Roman"/>
          <w:sz w:val="24"/>
          <w:szCs w:val="24"/>
          <w:lang w:eastAsia="es-ES"/>
        </w:rPr>
        <w:t>Qué</w:t>
      </w:r>
      <w:r w:rsidRPr="005A519C">
        <w:rPr>
          <w:rFonts w:ascii="Times New Roman" w:eastAsia="Times New Roman" w:hAnsi="Times New Roman" w:cs="Times New Roman"/>
          <w:sz w:val="24"/>
          <w:szCs w:val="24"/>
          <w:lang w:eastAsia="es-ES"/>
        </w:rPr>
        <w:t xml:space="preserve"> entiende Kant por “crítica del gusto” en los años previos a la composición de la </w:t>
      </w:r>
      <w:r w:rsidRPr="005A519C">
        <w:rPr>
          <w:rFonts w:ascii="Times New Roman" w:eastAsia="Times New Roman" w:hAnsi="Times New Roman" w:cs="Times New Roman"/>
          <w:i/>
          <w:iCs/>
          <w:sz w:val="24"/>
          <w:szCs w:val="24"/>
          <w:lang w:eastAsia="es-ES"/>
        </w:rPr>
        <w:t>KU</w:t>
      </w:r>
      <w:r w:rsidR="00612BA5">
        <w:rPr>
          <w:rFonts w:ascii="Times New Roman" w:eastAsia="Times New Roman" w:hAnsi="Times New Roman" w:cs="Times New Roman"/>
          <w:sz w:val="24"/>
          <w:szCs w:val="24"/>
          <w:lang w:eastAsia="es-ES"/>
        </w:rPr>
        <w:t>? L</w:t>
      </w:r>
      <w:r w:rsidRPr="005A519C">
        <w:rPr>
          <w:rFonts w:ascii="Times New Roman" w:eastAsia="Times New Roman" w:hAnsi="Times New Roman" w:cs="Times New Roman"/>
          <w:sz w:val="24"/>
          <w:szCs w:val="24"/>
          <w:lang w:eastAsia="es-ES"/>
        </w:rPr>
        <w:t xml:space="preserve">a </w:t>
      </w:r>
      <w:r w:rsidRPr="005A519C">
        <w:rPr>
          <w:rFonts w:ascii="Times New Roman" w:eastAsia="Times New Roman" w:hAnsi="Times New Roman" w:cs="Times New Roman"/>
          <w:i/>
          <w:iCs/>
          <w:sz w:val="24"/>
          <w:szCs w:val="24"/>
          <w:lang w:eastAsia="es-ES"/>
        </w:rPr>
        <w:t>Crítica de la razón pura</w:t>
      </w:r>
      <w:r w:rsidRPr="005A519C">
        <w:rPr>
          <w:rFonts w:ascii="Times New Roman" w:eastAsia="Times New Roman" w:hAnsi="Times New Roman" w:cs="Times New Roman"/>
          <w:sz w:val="24"/>
          <w:szCs w:val="24"/>
          <w:lang w:eastAsia="es-ES"/>
        </w:rPr>
        <w:t xml:space="preserve"> nos ofrece una respuesta: “los alemanes</w:t>
      </w:r>
      <w:r w:rsidR="00612BA5">
        <w:rPr>
          <w:rFonts w:ascii="Times New Roman" w:eastAsia="Times New Roman" w:hAnsi="Times New Roman" w:cs="Times New Roman"/>
          <w:spacing w:val="-2"/>
          <w:sz w:val="24"/>
          <w:szCs w:val="24"/>
          <w:lang w:eastAsia="es-ES"/>
        </w:rPr>
        <w:t xml:space="preserve"> son los ú</w:t>
      </w:r>
      <w:r w:rsidRPr="005A519C">
        <w:rPr>
          <w:rFonts w:ascii="Times New Roman" w:eastAsia="Times New Roman" w:hAnsi="Times New Roman" w:cs="Times New Roman"/>
          <w:spacing w:val="-2"/>
          <w:sz w:val="24"/>
          <w:szCs w:val="24"/>
          <w:lang w:eastAsia="es-ES"/>
        </w:rPr>
        <w:t>nicos que</w:t>
      </w:r>
      <w:r w:rsidRPr="005A519C">
        <w:rPr>
          <w:rFonts w:ascii="Times New Roman" w:eastAsia="Times New Roman" w:hAnsi="Times New Roman" w:cs="Times New Roman"/>
          <w:sz w:val="24"/>
          <w:szCs w:val="24"/>
          <w:lang w:eastAsia="es-ES"/>
        </w:rPr>
        <w:t xml:space="preserve"> emplean hoy la palabra ‘estética’ para designar lo que otros denominan crítica del gusto. Tal empleo se basa en una equivocada esperanza concebida por Baumgarten. Esta esperanza consistía en reducir la</w:t>
      </w:r>
      <w:r w:rsidR="00157D66">
        <w:rPr>
          <w:rFonts w:ascii="Times New Roman" w:eastAsia="Times New Roman" w:hAnsi="Times New Roman" w:cs="Times New Roman"/>
          <w:sz w:val="24"/>
          <w:szCs w:val="24"/>
          <w:lang w:eastAsia="es-ES"/>
        </w:rPr>
        <w:t xml:space="preserve"> consideración crítica de lo be</w:t>
      </w:r>
      <w:r w:rsidRPr="005A519C">
        <w:rPr>
          <w:rFonts w:ascii="Times New Roman" w:eastAsia="Times New Roman" w:hAnsi="Times New Roman" w:cs="Times New Roman"/>
          <w:sz w:val="24"/>
          <w:szCs w:val="24"/>
          <w:lang w:eastAsia="es-ES"/>
        </w:rPr>
        <w:t>llo a principios racionales y en elevar al rango de cienci</w:t>
      </w:r>
      <w:r w:rsidR="00157D66">
        <w:rPr>
          <w:rFonts w:ascii="Times New Roman" w:eastAsia="Times New Roman" w:hAnsi="Times New Roman" w:cs="Times New Roman"/>
          <w:sz w:val="24"/>
          <w:szCs w:val="24"/>
          <w:lang w:eastAsia="es-ES"/>
        </w:rPr>
        <w:t>a las reglas de dicha considera</w:t>
      </w:r>
      <w:r w:rsidRPr="005A519C">
        <w:rPr>
          <w:rFonts w:ascii="Times New Roman" w:eastAsia="Times New Roman" w:hAnsi="Times New Roman" w:cs="Times New Roman"/>
          <w:sz w:val="24"/>
          <w:szCs w:val="24"/>
          <w:lang w:eastAsia="es-ES"/>
        </w:rPr>
        <w:t>ción crítica. Pero este empeño es vano, ya que las mencionadas reglas o criterios son, de acuerdo con sus fuentes [principales],</w:t>
      </w:r>
      <w:r w:rsidR="003A3A0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meramente empíricas y, consiguientemente, jamás pueden seguir para establecer [determinadas] leyes</w:t>
      </w:r>
      <w:r w:rsidRPr="005A519C">
        <w:rPr>
          <w:rFonts w:ascii="Times New Roman" w:eastAsia="Times New Roman" w:hAnsi="Times New Roman" w:cs="Times New Roman"/>
          <w:i/>
          <w:iCs/>
          <w:sz w:val="24"/>
          <w:szCs w:val="24"/>
          <w:lang w:eastAsia="es-ES"/>
        </w:rPr>
        <w:t xml:space="preserve"> a priori </w:t>
      </w:r>
      <w:r w:rsidRPr="005A519C">
        <w:rPr>
          <w:rFonts w:ascii="Times New Roman" w:eastAsia="Times New Roman" w:hAnsi="Times New Roman" w:cs="Times New Roman"/>
          <w:sz w:val="24"/>
          <w:szCs w:val="24"/>
          <w:lang w:eastAsia="es-ES"/>
        </w:rPr>
        <w:t>por las que debiera regirse nuestro juicio del gusto”</w:t>
      </w:r>
      <w:r w:rsidRPr="005A519C">
        <w:rPr>
          <w:rFonts w:ascii="Times New Roman" w:eastAsia="Times New Roman" w:hAnsi="Times New Roman" w:cs="Times New Roman"/>
          <w:sz w:val="24"/>
          <w:szCs w:val="24"/>
          <w:vertAlign w:val="superscript"/>
          <w:lang w:eastAsia="es-ES"/>
        </w:rPr>
        <w:footnoteReference w:id="14"/>
      </w:r>
      <w:r w:rsidRPr="005A519C">
        <w:rPr>
          <w:rFonts w:ascii="Times New Roman" w:eastAsia="Times New Roman" w:hAnsi="Times New Roman" w:cs="Times New Roman"/>
          <w:sz w:val="24"/>
          <w:szCs w:val="24"/>
          <w:lang w:eastAsia="es-ES"/>
        </w:rPr>
        <w:t xml:space="preserve">. En segundo lugar, la confirmación de que Kant rectifica y se desdice de esta cita la encontramos en la naturaleza misma del </w:t>
      </w:r>
      <w:r w:rsidRPr="005A519C">
        <w:rPr>
          <w:rFonts w:ascii="Times New Roman" w:eastAsia="Times New Roman" w:hAnsi="Times New Roman" w:cs="Times New Roman"/>
          <w:i/>
          <w:iCs/>
          <w:sz w:val="24"/>
          <w:szCs w:val="24"/>
          <w:lang w:eastAsia="es-ES"/>
        </w:rPr>
        <w:t>juicio reflexionante</w:t>
      </w:r>
      <w:r w:rsidR="009D1052">
        <w:rPr>
          <w:rFonts w:ascii="Times New Roman" w:eastAsia="Times New Roman" w:hAnsi="Times New Roman" w:cs="Times New Roman"/>
          <w:sz w:val="24"/>
          <w:szCs w:val="24"/>
          <w:lang w:eastAsia="es-ES"/>
        </w:rPr>
        <w:t>, pie</w:t>
      </w:r>
      <w:r w:rsidRPr="005A519C">
        <w:rPr>
          <w:rFonts w:ascii="Times New Roman" w:eastAsia="Times New Roman" w:hAnsi="Times New Roman" w:cs="Times New Roman"/>
          <w:sz w:val="24"/>
          <w:szCs w:val="24"/>
          <w:lang w:eastAsia="es-ES"/>
        </w:rPr>
        <w:t xml:space="preserve">dra angular de su obra de 1790, en la medida en que este sí depende del concurso de ese principio previo a toda experiencia, la </w:t>
      </w:r>
      <w:r w:rsidRPr="005A519C">
        <w:rPr>
          <w:rFonts w:ascii="Times New Roman" w:eastAsia="Times New Roman" w:hAnsi="Times New Roman" w:cs="Times New Roman"/>
          <w:i/>
          <w:iCs/>
          <w:sz w:val="24"/>
          <w:szCs w:val="24"/>
          <w:lang w:eastAsia="es-ES"/>
        </w:rPr>
        <w:t>finalidad formal de la naturaleza</w:t>
      </w:r>
      <w:r w:rsidRPr="005A519C">
        <w:rPr>
          <w:rFonts w:ascii="Times New Roman" w:eastAsia="Times New Roman" w:hAnsi="Times New Roman" w:cs="Times New Roman"/>
          <w:sz w:val="24"/>
          <w:szCs w:val="24"/>
          <w:lang w:eastAsia="es-ES"/>
        </w:rPr>
        <w:t>.</w:t>
      </w:r>
      <w:r w:rsidR="00B53CFD">
        <w:rPr>
          <w:rFonts w:ascii="Times New Roman" w:eastAsia="Times New Roman" w:hAnsi="Times New Roman" w:cs="Times New Roman"/>
          <w:sz w:val="24"/>
          <w:szCs w:val="24"/>
          <w:lang w:eastAsia="es-ES"/>
        </w:rPr>
        <w:t xml:space="preserve"> La esperanza de Baumgarten es, en cierto modo, cumplida hasta el extremo: las reglas del gusto no son empíricas, sino </w:t>
      </w:r>
      <w:r w:rsidR="00B53CFD" w:rsidRPr="00B53CFD">
        <w:rPr>
          <w:rFonts w:ascii="Times New Roman" w:eastAsia="Times New Roman" w:hAnsi="Times New Roman" w:cs="Times New Roman"/>
          <w:i/>
          <w:sz w:val="24"/>
          <w:szCs w:val="24"/>
          <w:lang w:eastAsia="es-ES"/>
        </w:rPr>
        <w:t>trascendentales</w:t>
      </w:r>
      <w:r w:rsidR="00B53CFD">
        <w:rPr>
          <w:rFonts w:ascii="Times New Roman" w:eastAsia="Times New Roman" w:hAnsi="Times New Roman" w:cs="Times New Roman"/>
          <w:sz w:val="24"/>
          <w:szCs w:val="24"/>
          <w:lang w:eastAsia="es-ES"/>
        </w:rPr>
        <w:t>.</w:t>
      </w:r>
    </w:p>
    <w:p w:rsidR="005A519C" w:rsidRPr="005A519C" w:rsidRDefault="005A519C" w:rsidP="00612BA5">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 xml:space="preserve">Si por algo se caracteriza la facultad de juzgar en su uso reflexionante es, sin lugar a dudas, por su </w:t>
      </w:r>
      <w:r w:rsidRPr="005A519C">
        <w:rPr>
          <w:rFonts w:ascii="Times New Roman" w:eastAsia="Times New Roman" w:hAnsi="Times New Roman" w:cs="Times New Roman"/>
          <w:i/>
          <w:iCs/>
          <w:sz w:val="24"/>
          <w:szCs w:val="24"/>
          <w:lang w:eastAsia="es-ES"/>
        </w:rPr>
        <w:t>autonomía</w:t>
      </w:r>
      <w:r w:rsidRPr="005A519C">
        <w:rPr>
          <w:rFonts w:ascii="Times New Roman" w:eastAsia="Times New Roman" w:hAnsi="Times New Roman" w:cs="Times New Roman"/>
          <w:sz w:val="24"/>
          <w:szCs w:val="24"/>
          <w:lang w:eastAsia="es-ES"/>
        </w:rPr>
        <w:t>.</w:t>
      </w:r>
      <w:r w:rsidRPr="005A519C">
        <w:rPr>
          <w:rFonts w:ascii="Times New Roman" w:eastAsia="Times New Roman" w:hAnsi="Times New Roman" w:cs="Times New Roman"/>
          <w:sz w:val="24"/>
          <w:szCs w:val="24"/>
          <w:vertAlign w:val="superscript"/>
          <w:lang w:eastAsia="es-ES"/>
        </w:rPr>
        <w:footnoteReference w:id="15"/>
      </w:r>
      <w:r w:rsidRPr="005A519C">
        <w:rPr>
          <w:rFonts w:ascii="Times New Roman" w:eastAsia="Times New Roman" w:hAnsi="Times New Roman" w:cs="Times New Roman"/>
          <w:sz w:val="24"/>
          <w:szCs w:val="24"/>
          <w:lang w:eastAsia="es-ES"/>
        </w:rPr>
        <w:t xml:space="preserve">. Denominada técnicamente </w:t>
      </w:r>
      <w:r w:rsidRPr="005A519C">
        <w:rPr>
          <w:rFonts w:ascii="Times New Roman" w:eastAsia="Times New Roman" w:hAnsi="Times New Roman" w:cs="Times New Roman"/>
          <w:i/>
          <w:iCs/>
          <w:sz w:val="24"/>
          <w:szCs w:val="24"/>
          <w:lang w:eastAsia="es-ES"/>
        </w:rPr>
        <w:t>heautonomía</w:t>
      </w:r>
      <w:r w:rsidRPr="005A519C">
        <w:rPr>
          <w:rFonts w:ascii="Times New Roman" w:eastAsia="Times New Roman" w:hAnsi="Times New Roman" w:cs="Times New Roman"/>
          <w:sz w:val="24"/>
          <w:szCs w:val="24"/>
          <w:lang w:eastAsia="es-ES"/>
        </w:rPr>
        <w:t xml:space="preserve">, opera en el ánimo del hombre autorreferencialmente, esto es, su actividad se encuentra, en todo momento, al servicio de sus propios principios. Como subraya Óscar Cubo, es fundamental enfatizar la naturaleza independiente del juicio reflexionante, pues en el determinante la facultad de juzgar se comporta </w:t>
      </w:r>
      <w:r w:rsidRPr="005A519C">
        <w:rPr>
          <w:rFonts w:ascii="Times New Roman" w:eastAsia="Times New Roman" w:hAnsi="Times New Roman" w:cs="Times New Roman"/>
          <w:i/>
          <w:iCs/>
          <w:sz w:val="24"/>
          <w:szCs w:val="24"/>
          <w:lang w:eastAsia="es-ES"/>
        </w:rPr>
        <w:t>heterónomamente</w:t>
      </w:r>
      <w:r w:rsidRPr="005A519C">
        <w:rPr>
          <w:rFonts w:ascii="Times New Roman" w:eastAsia="Times New Roman" w:hAnsi="Times New Roman" w:cs="Times New Roman"/>
          <w:sz w:val="24"/>
          <w:szCs w:val="24"/>
          <w:lang w:eastAsia="es-ES"/>
        </w:rPr>
        <w:t xml:space="preserve">: actúa siempre guiada por la razón o el entendimiento. Dicho de otro modo, este uso reflexionante no utiliza un concepto previo proporcionado por otra facultad superior para la ejecutar la subsunción, sino que produ-ce un concepto que engloba en lo universal lo no conceptualizado previamente. Por este motivo, Cubo defiende que ambos usos del juzgar </w:t>
      </w:r>
      <w:r w:rsidRPr="005A519C">
        <w:rPr>
          <w:rFonts w:ascii="Times New Roman" w:eastAsia="Times New Roman" w:hAnsi="Times New Roman" w:cs="Times New Roman"/>
          <w:i/>
          <w:iCs/>
          <w:sz w:val="24"/>
          <w:szCs w:val="24"/>
          <w:lang w:eastAsia="es-ES"/>
        </w:rPr>
        <w:t>se complementan</w:t>
      </w:r>
      <w:r w:rsidRPr="005A519C">
        <w:rPr>
          <w:rFonts w:ascii="Times New Roman" w:eastAsia="Times New Roman" w:hAnsi="Times New Roman" w:cs="Times New Roman"/>
          <w:sz w:val="24"/>
          <w:szCs w:val="24"/>
          <w:lang w:eastAsia="es-ES"/>
        </w:rPr>
        <w:t>, en tanto uno va de lo particular a lo universal (</w:t>
      </w:r>
      <w:r w:rsidR="00884190">
        <w:rPr>
          <w:rFonts w:ascii="Times New Roman" w:eastAsia="Times New Roman" w:hAnsi="Times New Roman" w:cs="Times New Roman"/>
          <w:sz w:val="24"/>
          <w:szCs w:val="24"/>
          <w:lang w:eastAsia="es-ES"/>
        </w:rPr>
        <w:t xml:space="preserve">uso </w:t>
      </w:r>
      <w:r w:rsidRPr="005A519C">
        <w:rPr>
          <w:rFonts w:ascii="Times New Roman" w:eastAsia="Times New Roman" w:hAnsi="Times New Roman" w:cs="Times New Roman"/>
          <w:sz w:val="24"/>
          <w:szCs w:val="24"/>
          <w:lang w:eastAsia="es-ES"/>
        </w:rPr>
        <w:t>reflexionante) y otro de lo uni</w:t>
      </w:r>
      <w:r w:rsidR="00DC46D6">
        <w:rPr>
          <w:rFonts w:ascii="Times New Roman" w:eastAsia="Times New Roman" w:hAnsi="Times New Roman" w:cs="Times New Roman"/>
          <w:sz w:val="24"/>
          <w:szCs w:val="24"/>
          <w:lang w:eastAsia="es-ES"/>
        </w:rPr>
        <w:t>versal a lo particular (</w:t>
      </w:r>
      <w:r w:rsidR="00884190">
        <w:rPr>
          <w:rFonts w:ascii="Times New Roman" w:eastAsia="Times New Roman" w:hAnsi="Times New Roman" w:cs="Times New Roman"/>
          <w:sz w:val="24"/>
          <w:szCs w:val="24"/>
          <w:lang w:eastAsia="es-ES"/>
        </w:rPr>
        <w:t xml:space="preserve">uso </w:t>
      </w:r>
      <w:r w:rsidR="00DC46D6">
        <w:rPr>
          <w:rFonts w:ascii="Times New Roman" w:eastAsia="Times New Roman" w:hAnsi="Times New Roman" w:cs="Times New Roman"/>
          <w:sz w:val="24"/>
          <w:szCs w:val="24"/>
          <w:lang w:eastAsia="es-ES"/>
        </w:rPr>
        <w:t>determi</w:t>
      </w:r>
      <w:r w:rsidRPr="005A519C">
        <w:rPr>
          <w:rFonts w:ascii="Times New Roman" w:eastAsia="Times New Roman" w:hAnsi="Times New Roman" w:cs="Times New Roman"/>
          <w:sz w:val="24"/>
          <w:szCs w:val="24"/>
          <w:lang w:eastAsia="es-ES"/>
        </w:rPr>
        <w:t xml:space="preserve">nante). No resulta extraño, entonces, que esta afinidad entre ambas formas del </w:t>
      </w:r>
      <w:r w:rsidRPr="005A519C">
        <w:rPr>
          <w:rFonts w:ascii="Times New Roman" w:eastAsia="Times New Roman" w:hAnsi="Times New Roman" w:cs="Times New Roman"/>
          <w:sz w:val="24"/>
          <w:szCs w:val="24"/>
          <w:lang w:eastAsia="es-ES"/>
        </w:rPr>
        <w:lastRenderedPageBreak/>
        <w:t xml:space="preserve">Juicio sea enfatizada a su vez por Valerio Rocco quien, en su epílogo para el </w:t>
      </w:r>
      <w:r w:rsidR="007B3D23">
        <w:rPr>
          <w:rFonts w:ascii="Times New Roman" w:eastAsia="Times New Roman" w:hAnsi="Times New Roman" w:cs="Times New Roman"/>
          <w:sz w:val="24"/>
          <w:szCs w:val="24"/>
          <w:lang w:eastAsia="es-ES"/>
        </w:rPr>
        <w:t>libro</w:t>
      </w:r>
      <w:r w:rsidR="00DF3030">
        <w:rPr>
          <w:rFonts w:ascii="Times New Roman" w:eastAsia="Times New Roman" w:hAnsi="Times New Roman" w:cs="Times New Roman"/>
          <w:sz w:val="24"/>
          <w:szCs w:val="24"/>
          <w:lang w:eastAsia="es-ES"/>
        </w:rPr>
        <w:t xml:space="preserve"> de </w:t>
      </w:r>
      <w:r w:rsidRPr="005A519C">
        <w:rPr>
          <w:rFonts w:ascii="Times New Roman" w:eastAsia="Times New Roman" w:hAnsi="Times New Roman" w:cs="Times New Roman"/>
          <w:sz w:val="24"/>
          <w:szCs w:val="24"/>
          <w:lang w:eastAsia="es-ES"/>
        </w:rPr>
        <w:t xml:space="preserve">Sgarbi, la expresa como sigue: </w:t>
      </w:r>
      <w:r w:rsidRPr="005A519C">
        <w:rPr>
          <w:rFonts w:ascii="Times New Roman" w:eastAsia="Times New Roman" w:hAnsi="Times New Roman" w:cs="Times New Roman"/>
          <w:spacing w:val="-2"/>
          <w:sz w:val="24"/>
          <w:szCs w:val="24"/>
          <w:lang w:eastAsia="es-ES"/>
        </w:rPr>
        <w:t>“</w:t>
      </w:r>
      <w:r w:rsidRPr="005A519C">
        <w:rPr>
          <w:rFonts w:ascii="Times New Roman" w:eastAsia="Times New Roman" w:hAnsi="Times New Roman" w:cs="Times New Roman"/>
          <w:sz w:val="24"/>
          <w:szCs w:val="24"/>
          <w:lang w:eastAsia="es-ES"/>
        </w:rPr>
        <w:t>esta fructífera dinámica entre dos direcciones de la actividad del Juicio, este</w:t>
      </w:r>
      <w:r w:rsidRPr="005A519C">
        <w:rPr>
          <w:rFonts w:ascii="Times New Roman" w:eastAsia="Times New Roman" w:hAnsi="Times New Roman" w:cs="Times New Roman"/>
          <w:i/>
          <w:iCs/>
          <w:sz w:val="24"/>
          <w:szCs w:val="24"/>
          <w:lang w:eastAsia="es-ES"/>
        </w:rPr>
        <w:t xml:space="preserve"> juego especular </w:t>
      </w:r>
      <w:r w:rsidRPr="005A519C">
        <w:rPr>
          <w:rFonts w:ascii="Times New Roman" w:eastAsia="Times New Roman" w:hAnsi="Times New Roman" w:cs="Times New Roman"/>
          <w:sz w:val="24"/>
          <w:szCs w:val="24"/>
          <w:lang w:eastAsia="es-ES"/>
        </w:rPr>
        <w:t>entre Juicio de</w:t>
      </w:r>
      <w:r w:rsidR="00DF3030">
        <w:rPr>
          <w:rFonts w:ascii="Times New Roman" w:eastAsia="Times New Roman" w:hAnsi="Times New Roman" w:cs="Times New Roman"/>
          <w:sz w:val="24"/>
          <w:szCs w:val="24"/>
          <w:lang w:eastAsia="es-ES"/>
        </w:rPr>
        <w:t>terminante y Juicio reflexionan</w:t>
      </w:r>
      <w:r w:rsidRPr="005A519C">
        <w:rPr>
          <w:rFonts w:ascii="Times New Roman" w:eastAsia="Times New Roman" w:hAnsi="Times New Roman" w:cs="Times New Roman"/>
          <w:sz w:val="24"/>
          <w:szCs w:val="24"/>
          <w:lang w:eastAsia="es-ES"/>
        </w:rPr>
        <w:t xml:space="preserve">te, constituye sólo un paso más en una larga tradición (desde Aristóteles a Baumgarten a través de la importantísima mediación de Zabarella) </w:t>
      </w:r>
      <w:r w:rsidRPr="005A519C">
        <w:rPr>
          <w:rFonts w:ascii="Times New Roman" w:eastAsia="Times New Roman" w:hAnsi="Times New Roman" w:cs="Times New Roman"/>
          <w:spacing w:val="-2"/>
          <w:sz w:val="24"/>
          <w:szCs w:val="24"/>
          <w:lang w:eastAsia="es-ES"/>
        </w:rPr>
        <w:t xml:space="preserve">de diferentes soluciones al problema </w:t>
      </w:r>
      <w:r w:rsidRPr="005A519C">
        <w:rPr>
          <w:rFonts w:ascii="Times New Roman" w:eastAsia="Times New Roman" w:hAnsi="Times New Roman" w:cs="Times New Roman"/>
          <w:sz w:val="24"/>
          <w:szCs w:val="24"/>
          <w:lang w:eastAsia="es-ES"/>
        </w:rPr>
        <w:t xml:space="preserve">de la articulación de universalidad y </w:t>
      </w:r>
      <w:r w:rsidRPr="005A519C">
        <w:rPr>
          <w:rFonts w:ascii="Times New Roman" w:eastAsia="Times New Roman" w:hAnsi="Times New Roman" w:cs="Times New Roman"/>
          <w:spacing w:val="-2"/>
          <w:sz w:val="24"/>
          <w:szCs w:val="24"/>
          <w:lang w:eastAsia="es-ES"/>
        </w:rPr>
        <w:t>particularidad lógicas, entre conocimiento y cosa”</w:t>
      </w:r>
      <w:r w:rsidRPr="005A519C">
        <w:rPr>
          <w:rFonts w:ascii="Times New Roman" w:eastAsia="Times New Roman" w:hAnsi="Times New Roman" w:cs="Times New Roman"/>
          <w:spacing w:val="-2"/>
          <w:sz w:val="24"/>
          <w:szCs w:val="24"/>
          <w:vertAlign w:val="superscript"/>
          <w:lang w:eastAsia="es-ES"/>
        </w:rPr>
        <w:footnoteReference w:id="16"/>
      </w:r>
      <w:r w:rsidRPr="005A519C">
        <w:rPr>
          <w:rFonts w:ascii="Times New Roman" w:eastAsia="Times New Roman" w:hAnsi="Times New Roman" w:cs="Times New Roman"/>
          <w:spacing w:val="-2"/>
          <w:sz w:val="24"/>
          <w:szCs w:val="24"/>
          <w:lang w:eastAsia="es-ES"/>
        </w:rPr>
        <w:t xml:space="preserve">. </w:t>
      </w:r>
      <w:r w:rsidRPr="005A519C">
        <w:rPr>
          <w:rFonts w:ascii="Times New Roman" w:eastAsia="Times New Roman" w:hAnsi="Times New Roman" w:cs="Times New Roman"/>
          <w:sz w:val="24"/>
          <w:szCs w:val="24"/>
          <w:lang w:eastAsia="es-ES"/>
        </w:rPr>
        <w:t xml:space="preserve">Por otro lado, el propio Sgarbi defiende que el fundamento psicológico de la autonomía del juzgar, de la que surgen, como veremos, tanto su dimensión lógica como estética, no es sino la </w:t>
      </w:r>
      <w:r w:rsidRPr="005A519C">
        <w:rPr>
          <w:rFonts w:ascii="Times New Roman" w:eastAsia="Times New Roman" w:hAnsi="Times New Roman" w:cs="Times New Roman"/>
          <w:i/>
          <w:iCs/>
          <w:sz w:val="24"/>
          <w:szCs w:val="24"/>
          <w:lang w:eastAsia="es-ES"/>
        </w:rPr>
        <w:t>espontaneidad</w:t>
      </w:r>
      <w:r w:rsidR="007B3D23" w:rsidRPr="007B3D23">
        <w:rPr>
          <w:rStyle w:val="Refdenotaalpie"/>
          <w:rFonts w:ascii="Times New Roman" w:eastAsia="Times New Roman" w:hAnsi="Times New Roman" w:cs="Times New Roman"/>
          <w:iCs/>
          <w:sz w:val="24"/>
          <w:szCs w:val="24"/>
          <w:lang w:eastAsia="es-ES"/>
        </w:rPr>
        <w:footnoteReference w:id="17"/>
      </w:r>
      <w:r w:rsidRPr="007B3D23">
        <w:rPr>
          <w:rFonts w:ascii="Times New Roman" w:eastAsia="Times New Roman" w:hAnsi="Times New Roman" w:cs="Times New Roman"/>
          <w:sz w:val="24"/>
          <w:szCs w:val="24"/>
          <w:lang w:eastAsia="es-ES"/>
        </w:rPr>
        <w:t>,</w:t>
      </w:r>
      <w:r w:rsidRPr="005A519C">
        <w:rPr>
          <w:rFonts w:ascii="Times New Roman" w:eastAsia="Times New Roman" w:hAnsi="Times New Roman" w:cs="Times New Roman"/>
          <w:sz w:val="24"/>
          <w:szCs w:val="24"/>
          <w:lang w:eastAsia="es-ES"/>
        </w:rPr>
        <w:t xml:space="preserve"> definida así como el punto de referencia para toda experiencia. El juego de la espontaneidad consiste, en consecuencia, en esa libertad que se atribuye a la imaginación frente a la sensación y el entendimiento. P</w:t>
      </w:r>
      <w:r w:rsidR="00884190">
        <w:rPr>
          <w:rFonts w:ascii="Times New Roman" w:eastAsia="Times New Roman" w:hAnsi="Times New Roman" w:cs="Times New Roman"/>
          <w:sz w:val="24"/>
          <w:szCs w:val="24"/>
          <w:lang w:eastAsia="es-ES"/>
        </w:rPr>
        <w:t>or tanto, el Juicio, como facul</w:t>
      </w:r>
      <w:r w:rsidRPr="005A519C">
        <w:rPr>
          <w:rFonts w:ascii="Times New Roman" w:eastAsia="Times New Roman" w:hAnsi="Times New Roman" w:cs="Times New Roman"/>
          <w:sz w:val="24"/>
          <w:szCs w:val="24"/>
          <w:lang w:eastAsia="es-ES"/>
        </w:rPr>
        <w:t xml:space="preserve">tad intermedia, es espontáneo en su juzgar reflexionante, no limitado por regla cognitiva alguna. Es decir, esa esquematización sin concepto procede “irracional, inintencional y naturalmente” y es la propiedad principal del sentido común. Ese </w:t>
      </w:r>
      <w:r w:rsidRPr="005A519C">
        <w:rPr>
          <w:rFonts w:ascii="Times New Roman" w:eastAsia="Times New Roman" w:hAnsi="Times New Roman" w:cs="Times New Roman"/>
          <w:i/>
          <w:iCs/>
          <w:sz w:val="24"/>
          <w:szCs w:val="24"/>
          <w:lang w:eastAsia="es-ES"/>
        </w:rPr>
        <w:t>sensus communis</w:t>
      </w:r>
      <w:r w:rsidRPr="005A519C">
        <w:rPr>
          <w:rFonts w:ascii="Times New Roman" w:eastAsia="Times New Roman" w:hAnsi="Times New Roman" w:cs="Times New Roman"/>
          <w:sz w:val="24"/>
          <w:szCs w:val="24"/>
          <w:lang w:eastAsia="es-ES"/>
        </w:rPr>
        <w:t xml:space="preserve"> tiene dos vertientes: o bien une los datos de los sentidos con el equipamiento trascendental, lo cual equivale a la formación de conceptos por medio de representaciones, o bien esboza nuevos significados entre sujeto y objeto, lo cual remite a lo bello y agradable. </w:t>
      </w:r>
      <w:r w:rsidR="00490DB4">
        <w:rPr>
          <w:rFonts w:ascii="Times New Roman" w:eastAsia="Times New Roman" w:hAnsi="Times New Roman" w:cs="Times New Roman"/>
          <w:sz w:val="24"/>
          <w:szCs w:val="24"/>
          <w:lang w:eastAsia="es-ES"/>
        </w:rPr>
        <w:t xml:space="preserve">Luego </w:t>
      </w:r>
      <w:r w:rsidRPr="005A519C">
        <w:rPr>
          <w:rFonts w:ascii="Times New Roman" w:eastAsia="Times New Roman" w:hAnsi="Times New Roman" w:cs="Times New Roman"/>
          <w:sz w:val="24"/>
          <w:szCs w:val="24"/>
          <w:lang w:eastAsia="es-ES"/>
        </w:rPr>
        <w:t>la heautonomía propia del j</w:t>
      </w:r>
      <w:r w:rsidR="00490DB4">
        <w:rPr>
          <w:rFonts w:ascii="Times New Roman" w:eastAsia="Times New Roman" w:hAnsi="Times New Roman" w:cs="Times New Roman"/>
          <w:sz w:val="24"/>
          <w:szCs w:val="24"/>
          <w:lang w:eastAsia="es-ES"/>
        </w:rPr>
        <w:t xml:space="preserve">uicio reflexionante no termina en  su dimensión lógica. </w:t>
      </w:r>
    </w:p>
    <w:p w:rsidR="005A519C" w:rsidRPr="00612BA5" w:rsidRDefault="005A519C" w:rsidP="00612BA5">
      <w:pPr>
        <w:spacing w:after="0" w:line="360" w:lineRule="auto"/>
        <w:ind w:firstLine="360"/>
        <w:jc w:val="both"/>
        <w:rPr>
          <w:rFonts w:ascii="Times New Roman" w:eastAsia="Times New Roman" w:hAnsi="Times New Roman" w:cs="Times New Roman"/>
          <w:spacing w:val="-2"/>
          <w:sz w:val="24"/>
          <w:szCs w:val="24"/>
          <w:lang w:eastAsia="es-ES"/>
        </w:rPr>
      </w:pPr>
      <w:r w:rsidRPr="005A519C">
        <w:rPr>
          <w:rFonts w:ascii="Times New Roman" w:eastAsia="Times New Roman" w:hAnsi="Times New Roman" w:cs="Times New Roman"/>
          <w:sz w:val="24"/>
          <w:szCs w:val="24"/>
          <w:lang w:eastAsia="es-ES"/>
        </w:rPr>
        <w:t xml:space="preserve">La idea de un uso reflexionante de la facultad de juzgar hunde sus raíces en el papel que cumple la razón dentro del marco teórico de la </w:t>
      </w:r>
      <w:r w:rsidRPr="005A519C">
        <w:rPr>
          <w:rFonts w:ascii="Times New Roman" w:eastAsia="Times New Roman" w:hAnsi="Times New Roman" w:cs="Times New Roman"/>
          <w:i/>
          <w:iCs/>
          <w:sz w:val="24"/>
          <w:szCs w:val="24"/>
          <w:lang w:eastAsia="es-ES"/>
        </w:rPr>
        <w:t>KrV</w:t>
      </w:r>
      <w:r w:rsidRPr="005A519C">
        <w:rPr>
          <w:rFonts w:ascii="Times New Roman" w:eastAsia="Times New Roman" w:hAnsi="Times New Roman" w:cs="Times New Roman"/>
          <w:sz w:val="24"/>
          <w:szCs w:val="24"/>
          <w:lang w:eastAsia="es-ES"/>
        </w:rPr>
        <w:t>.</w:t>
      </w:r>
      <w:r w:rsidR="00884190">
        <w:rPr>
          <w:rFonts w:ascii="Times New Roman" w:eastAsia="Times New Roman" w:hAnsi="Times New Roman" w:cs="Times New Roman"/>
          <w:sz w:val="24"/>
          <w:szCs w:val="24"/>
          <w:lang w:eastAsia="es-ES"/>
        </w:rPr>
        <w:t xml:space="preserve"> Esto es, una vez Kant ha recha</w:t>
      </w:r>
      <w:r w:rsidRPr="005A519C">
        <w:rPr>
          <w:rFonts w:ascii="Times New Roman" w:eastAsia="Times New Roman" w:hAnsi="Times New Roman" w:cs="Times New Roman"/>
          <w:sz w:val="24"/>
          <w:szCs w:val="24"/>
          <w:lang w:eastAsia="es-ES"/>
        </w:rPr>
        <w:t xml:space="preserve">zado la posibilidad de lograr un conocimiento empírico de ese cierre incondicionado del mundo fenoménico que aglutina nuestra experiencia, es plausible inferir la necesidad de un replanteamiento de la cuestión que reubique al conocido como </w:t>
      </w:r>
      <w:r w:rsidRPr="005A519C">
        <w:rPr>
          <w:rFonts w:ascii="Times New Roman" w:eastAsia="Times New Roman" w:hAnsi="Times New Roman" w:cs="Times New Roman"/>
          <w:i/>
          <w:iCs/>
          <w:sz w:val="24"/>
          <w:szCs w:val="24"/>
          <w:lang w:eastAsia="es-ES"/>
        </w:rPr>
        <w:t>ideal de la razón pura</w:t>
      </w:r>
      <w:r w:rsidRPr="005A519C">
        <w:rPr>
          <w:rFonts w:ascii="Times New Roman" w:eastAsia="Times New Roman" w:hAnsi="Times New Roman" w:cs="Times New Roman"/>
          <w:sz w:val="24"/>
          <w:szCs w:val="24"/>
          <w:lang w:eastAsia="es-ES"/>
        </w:rPr>
        <w:t xml:space="preserve"> dentro de la arquitectónica del sujeto trascendental. En efecto, ya en esta primera crítica, se defiende que, gracias a dicho ideal, la razón organiza comprensiblemente el producto del entendimiento. No obstante, se enfatiza que la relación trazada entre lo conceptual y el ideal es meramente subjetiva: si es objetivada se convierte en la noción de Dios y, por consiguiente, en una mera ilusión hipostasiada. En continuidad con este razonamiento, y bajo el paraguas de la </w:t>
      </w:r>
      <w:r w:rsidRPr="005A519C">
        <w:rPr>
          <w:rFonts w:ascii="Times New Roman" w:eastAsia="Times New Roman" w:hAnsi="Times New Roman" w:cs="Times New Roman"/>
          <w:i/>
          <w:iCs/>
          <w:sz w:val="24"/>
          <w:szCs w:val="24"/>
          <w:lang w:eastAsia="es-ES"/>
        </w:rPr>
        <w:t>Crítica del Juicio</w:t>
      </w:r>
      <w:r w:rsidRPr="005A519C">
        <w:rPr>
          <w:rFonts w:ascii="Times New Roman" w:eastAsia="Times New Roman" w:hAnsi="Times New Roman" w:cs="Times New Roman"/>
          <w:sz w:val="24"/>
          <w:szCs w:val="24"/>
          <w:lang w:eastAsia="es-ES"/>
        </w:rPr>
        <w:t>, el filósofo prus</w:t>
      </w:r>
      <w:r w:rsidR="00884190">
        <w:rPr>
          <w:rFonts w:ascii="Times New Roman" w:eastAsia="Times New Roman" w:hAnsi="Times New Roman" w:cs="Times New Roman"/>
          <w:sz w:val="24"/>
          <w:szCs w:val="24"/>
          <w:lang w:eastAsia="es-ES"/>
        </w:rPr>
        <w:t>iano afirma que el uso reflexio</w:t>
      </w:r>
      <w:r w:rsidRPr="005A519C">
        <w:rPr>
          <w:rFonts w:ascii="Times New Roman" w:eastAsia="Times New Roman" w:hAnsi="Times New Roman" w:cs="Times New Roman"/>
          <w:sz w:val="24"/>
          <w:szCs w:val="24"/>
          <w:lang w:eastAsia="es-ES"/>
        </w:rPr>
        <w:t xml:space="preserve">nante nos ofrece un criterio para clasificar sistemáticamente las leyes empíricas que son abstraídas de la naturaleza. Ahora bien, en la medida en que esa unidad </w:t>
      </w:r>
      <w:r w:rsidRPr="005A519C">
        <w:rPr>
          <w:rFonts w:ascii="Times New Roman" w:eastAsia="Times New Roman" w:hAnsi="Times New Roman" w:cs="Times New Roman"/>
          <w:sz w:val="24"/>
          <w:szCs w:val="24"/>
          <w:lang w:eastAsia="es-ES"/>
        </w:rPr>
        <w:lastRenderedPageBreak/>
        <w:t xml:space="preserve">es presupuesta, resulta lícito concluir su carácter </w:t>
      </w:r>
      <w:r w:rsidRPr="005A519C">
        <w:rPr>
          <w:rFonts w:ascii="Times New Roman" w:eastAsia="Times New Roman" w:hAnsi="Times New Roman" w:cs="Times New Roman"/>
          <w:i/>
          <w:iCs/>
          <w:sz w:val="24"/>
          <w:szCs w:val="24"/>
          <w:lang w:eastAsia="es-ES"/>
        </w:rPr>
        <w:t>a priori</w:t>
      </w:r>
      <w:r w:rsidRPr="005A519C">
        <w:rPr>
          <w:rFonts w:ascii="Times New Roman" w:eastAsia="Times New Roman" w:hAnsi="Times New Roman" w:cs="Times New Roman"/>
          <w:sz w:val="24"/>
          <w:szCs w:val="24"/>
          <w:lang w:eastAsia="es-ES"/>
        </w:rPr>
        <w:t xml:space="preserve"> y, con ello, que hay un principio trascendental con arreglo al cual nos es posible experimentar conceptualmente. Este principio, que ya se ha citado, se conoce como </w:t>
      </w:r>
      <w:r w:rsidRPr="005A519C">
        <w:rPr>
          <w:rFonts w:ascii="Times New Roman" w:eastAsia="Times New Roman" w:hAnsi="Times New Roman" w:cs="Times New Roman"/>
          <w:i/>
          <w:iCs/>
          <w:sz w:val="24"/>
          <w:szCs w:val="24"/>
          <w:lang w:eastAsia="es-ES"/>
        </w:rPr>
        <w:t>finalidad formal de la naturaleza</w:t>
      </w:r>
      <w:r w:rsidR="006F47DE" w:rsidRPr="005A519C">
        <w:rPr>
          <w:rFonts w:ascii="Times New Roman" w:eastAsia="Times New Roman" w:hAnsi="Times New Roman" w:cs="Times New Roman"/>
          <w:sz w:val="24"/>
          <w:szCs w:val="24"/>
          <w:vertAlign w:val="superscript"/>
          <w:lang w:eastAsia="es-ES"/>
        </w:rPr>
        <w:footnoteReference w:id="18"/>
      </w:r>
      <w:r w:rsidRPr="005A519C">
        <w:rPr>
          <w:rFonts w:ascii="Times New Roman" w:eastAsia="Times New Roman" w:hAnsi="Times New Roman" w:cs="Times New Roman"/>
          <w:sz w:val="24"/>
          <w:szCs w:val="24"/>
          <w:lang w:eastAsia="es-ES"/>
        </w:rPr>
        <w:t xml:space="preserve">, </w:t>
      </w:r>
      <w:r w:rsidR="006F47DE">
        <w:rPr>
          <w:rFonts w:ascii="Times New Roman" w:eastAsia="Times New Roman" w:hAnsi="Times New Roman" w:cs="Times New Roman"/>
          <w:sz w:val="24"/>
          <w:szCs w:val="24"/>
          <w:lang w:eastAsia="es-ES"/>
        </w:rPr>
        <w:t>el cual es, para Óscar Cubo,</w:t>
      </w:r>
      <w:r w:rsidRPr="005A519C">
        <w:rPr>
          <w:rFonts w:ascii="Times New Roman" w:eastAsia="Times New Roman" w:hAnsi="Times New Roman" w:cs="Times New Roman"/>
          <w:sz w:val="24"/>
          <w:szCs w:val="24"/>
          <w:lang w:eastAsia="es-ES"/>
        </w:rPr>
        <w:t xml:space="preserve"> una guía </w:t>
      </w:r>
      <w:r w:rsidRPr="005A519C">
        <w:rPr>
          <w:rFonts w:ascii="Times New Roman" w:eastAsia="Times New Roman" w:hAnsi="Times New Roman" w:cs="Times New Roman"/>
          <w:i/>
          <w:iCs/>
          <w:sz w:val="24"/>
          <w:szCs w:val="24"/>
          <w:lang w:eastAsia="es-ES"/>
        </w:rPr>
        <w:t>heurística</w:t>
      </w:r>
      <w:r w:rsidRPr="005A519C">
        <w:rPr>
          <w:rFonts w:ascii="Times New Roman" w:eastAsia="Times New Roman" w:hAnsi="Times New Roman" w:cs="Times New Roman"/>
          <w:sz w:val="24"/>
          <w:szCs w:val="24"/>
          <w:lang w:eastAsia="es-ES"/>
        </w:rPr>
        <w:t xml:space="preserve"> que unifica </w:t>
      </w:r>
      <w:r w:rsidRPr="005A519C">
        <w:rPr>
          <w:rFonts w:ascii="Times New Roman" w:eastAsia="Times New Roman" w:hAnsi="Times New Roman" w:cs="Times New Roman"/>
          <w:i/>
          <w:iCs/>
          <w:sz w:val="24"/>
          <w:szCs w:val="24"/>
          <w:lang w:eastAsia="es-ES"/>
        </w:rPr>
        <w:t>asintóticamente</w:t>
      </w:r>
      <w:r w:rsidRPr="005A519C">
        <w:rPr>
          <w:rFonts w:ascii="Times New Roman" w:eastAsia="Times New Roman" w:hAnsi="Times New Roman" w:cs="Times New Roman"/>
          <w:sz w:val="24"/>
          <w:szCs w:val="24"/>
          <w:lang w:eastAsia="es-ES"/>
        </w:rPr>
        <w:t xml:space="preserve"> nuestro saber empírico; Sgarbi, por otra parte, lo tematiza como aquello en virtud de lo cual nos es posible reflexionar acerca de las condiciones de posibilidad de las ciencias naturales, en tanto la naturaleza ofrece una disposición favorable a la misma; por último, según Nuri</w:t>
      </w:r>
      <w:r w:rsidR="00D71E26">
        <w:rPr>
          <w:rFonts w:ascii="Times New Roman" w:eastAsia="Times New Roman" w:hAnsi="Times New Roman" w:cs="Times New Roman"/>
          <w:sz w:val="24"/>
          <w:szCs w:val="24"/>
          <w:lang w:eastAsia="es-ES"/>
        </w:rPr>
        <w:t>a Sánchez, la posibilidad de di</w:t>
      </w:r>
      <w:r w:rsidRPr="005A519C">
        <w:rPr>
          <w:rFonts w:ascii="Times New Roman" w:eastAsia="Times New Roman" w:hAnsi="Times New Roman" w:cs="Times New Roman"/>
          <w:sz w:val="24"/>
          <w:szCs w:val="24"/>
          <w:lang w:eastAsia="es-ES"/>
        </w:rPr>
        <w:t xml:space="preserve">cha clasificación lógica de lo natural se nos aparece como una </w:t>
      </w:r>
      <w:r w:rsidRPr="005A519C">
        <w:rPr>
          <w:rFonts w:ascii="Times New Roman" w:eastAsia="Times New Roman" w:hAnsi="Times New Roman" w:cs="Times New Roman"/>
          <w:i/>
          <w:iCs/>
          <w:sz w:val="24"/>
          <w:szCs w:val="24"/>
          <w:lang w:eastAsia="es-ES"/>
        </w:rPr>
        <w:t xml:space="preserve">acquisitio </w:t>
      </w:r>
      <w:r w:rsidRPr="005A519C">
        <w:rPr>
          <w:rFonts w:ascii="Times New Roman" w:eastAsia="Times New Roman" w:hAnsi="Times New Roman" w:cs="Times New Roman"/>
          <w:sz w:val="24"/>
          <w:szCs w:val="24"/>
          <w:lang w:eastAsia="es-ES"/>
        </w:rPr>
        <w:t xml:space="preserve">originaria de la filosofía kantiana. La propia </w:t>
      </w:r>
      <w:r w:rsidR="002718AB">
        <w:rPr>
          <w:rFonts w:ascii="Times New Roman" w:eastAsia="Times New Roman" w:hAnsi="Times New Roman" w:cs="Times New Roman"/>
          <w:sz w:val="24"/>
          <w:szCs w:val="24"/>
          <w:lang w:eastAsia="es-ES"/>
        </w:rPr>
        <w:t>profesora</w:t>
      </w:r>
      <w:r w:rsidRPr="005A519C">
        <w:rPr>
          <w:rFonts w:ascii="Times New Roman" w:eastAsia="Times New Roman" w:hAnsi="Times New Roman" w:cs="Times New Roman"/>
          <w:sz w:val="24"/>
          <w:szCs w:val="24"/>
          <w:lang w:eastAsia="es-ES"/>
        </w:rPr>
        <w:t xml:space="preserve"> Sánchez Madrid defiende que la correspondencia y la afinidad entre nuestra subjetividad y la naturaleza con</w:t>
      </w:r>
      <w:r w:rsidR="00D71E26">
        <w:rPr>
          <w:rFonts w:ascii="Times New Roman" w:eastAsia="Times New Roman" w:hAnsi="Times New Roman" w:cs="Times New Roman"/>
          <w:sz w:val="24"/>
          <w:szCs w:val="24"/>
          <w:lang w:eastAsia="es-ES"/>
        </w:rPr>
        <w:t>stituye una brújula imprescindi</w:t>
      </w:r>
      <w:r w:rsidRPr="005A519C">
        <w:rPr>
          <w:rFonts w:ascii="Times New Roman" w:eastAsia="Times New Roman" w:hAnsi="Times New Roman" w:cs="Times New Roman"/>
          <w:sz w:val="24"/>
          <w:szCs w:val="24"/>
          <w:lang w:eastAsia="es-ES"/>
        </w:rPr>
        <w:t xml:space="preserve">ble para nuestra orientación en el mundo: sin ella, la reflexión devendría absolutamente azarosa. En cambio, la evolución de las disciplinas científicas naturales confirma que el hombre es capaz de clasificar </w:t>
      </w:r>
      <w:r w:rsidRPr="005A519C">
        <w:rPr>
          <w:rFonts w:ascii="Times New Roman" w:eastAsia="Times New Roman" w:hAnsi="Times New Roman" w:cs="Times New Roman"/>
          <w:i/>
          <w:iCs/>
          <w:sz w:val="24"/>
          <w:szCs w:val="24"/>
          <w:lang w:eastAsia="es-ES"/>
        </w:rPr>
        <w:t>racionalmente</w:t>
      </w:r>
      <w:r w:rsidRPr="005A519C">
        <w:rPr>
          <w:rFonts w:ascii="Times New Roman" w:eastAsia="Times New Roman" w:hAnsi="Times New Roman" w:cs="Times New Roman"/>
          <w:sz w:val="24"/>
          <w:szCs w:val="24"/>
          <w:lang w:eastAsia="es-ES"/>
        </w:rPr>
        <w:t xml:space="preserve"> a partir de regularidades advertidas</w:t>
      </w:r>
      <w:r w:rsidRPr="005A519C">
        <w:rPr>
          <w:rFonts w:ascii="Times New Roman" w:eastAsia="Times New Roman" w:hAnsi="Times New Roman" w:cs="Times New Roman"/>
          <w:sz w:val="24"/>
          <w:szCs w:val="24"/>
          <w:vertAlign w:val="superscript"/>
          <w:lang w:eastAsia="es-ES"/>
        </w:rPr>
        <w:footnoteReference w:id="19"/>
      </w:r>
      <w:r w:rsidRPr="005A519C">
        <w:rPr>
          <w:rFonts w:ascii="Times New Roman" w:eastAsia="Times New Roman" w:hAnsi="Times New Roman" w:cs="Times New Roman"/>
          <w:sz w:val="24"/>
          <w:szCs w:val="24"/>
          <w:lang w:eastAsia="es-ES"/>
        </w:rPr>
        <w:t xml:space="preserve">. Pues “el principio de la </w:t>
      </w:r>
      <w:r w:rsidRPr="005A519C">
        <w:rPr>
          <w:rFonts w:ascii="Times New Roman" w:eastAsia="Times New Roman" w:hAnsi="Times New Roman" w:cs="Times New Roman"/>
          <w:i/>
          <w:iCs/>
          <w:sz w:val="24"/>
          <w:szCs w:val="24"/>
          <w:lang w:eastAsia="es-ES"/>
        </w:rPr>
        <w:t>finalidad formal de la naturaleza</w:t>
      </w:r>
      <w:r w:rsidRPr="005A519C">
        <w:rPr>
          <w:rFonts w:ascii="Times New Roman" w:eastAsia="Times New Roman" w:hAnsi="Times New Roman" w:cs="Times New Roman"/>
          <w:sz w:val="24"/>
          <w:szCs w:val="24"/>
          <w:lang w:eastAsia="es-ES"/>
        </w:rPr>
        <w:t xml:space="preserve"> </w:t>
      </w:r>
      <w:r w:rsidR="00680A13">
        <w:rPr>
          <w:rFonts w:ascii="Times New Roman" w:eastAsia="Times New Roman" w:hAnsi="Times New Roman" w:cs="Times New Roman"/>
          <w:sz w:val="24"/>
          <w:szCs w:val="24"/>
          <w:lang w:eastAsia="es-ES"/>
        </w:rPr>
        <w:t xml:space="preserve">funda una esperanza, </w:t>
      </w:r>
      <w:r w:rsidRPr="005A519C">
        <w:rPr>
          <w:rFonts w:ascii="Times New Roman" w:eastAsia="Times New Roman" w:hAnsi="Times New Roman" w:cs="Times New Roman"/>
          <w:sz w:val="24"/>
          <w:szCs w:val="24"/>
          <w:lang w:eastAsia="es-ES"/>
        </w:rPr>
        <w:t xml:space="preserve">a saber, la de poder conceptualizar y clasificar lógicamente los </w:t>
      </w:r>
      <w:r w:rsidRPr="005A519C">
        <w:rPr>
          <w:rFonts w:ascii="Times New Roman" w:eastAsia="Times New Roman" w:hAnsi="Times New Roman" w:cs="Times New Roman"/>
          <w:spacing w:val="-2"/>
          <w:sz w:val="24"/>
          <w:szCs w:val="24"/>
          <w:lang w:eastAsia="es-ES"/>
        </w:rPr>
        <w:t xml:space="preserve">fenómenos de la naturaleza </w:t>
      </w:r>
      <w:r w:rsidRPr="005A519C">
        <w:rPr>
          <w:rFonts w:ascii="Times New Roman" w:eastAsia="Times New Roman" w:hAnsi="Times New Roman" w:cs="Times New Roman"/>
          <w:sz w:val="24"/>
          <w:szCs w:val="24"/>
          <w:lang w:eastAsia="es-ES"/>
        </w:rPr>
        <w:t xml:space="preserve">con arreglo a un sistema de </w:t>
      </w:r>
      <w:r w:rsidRPr="005A519C">
        <w:rPr>
          <w:rFonts w:ascii="Times New Roman" w:eastAsia="Times New Roman" w:hAnsi="Times New Roman" w:cs="Times New Roman"/>
          <w:i/>
          <w:iCs/>
          <w:sz w:val="24"/>
          <w:szCs w:val="24"/>
          <w:lang w:eastAsia="es-ES"/>
        </w:rPr>
        <w:t>géneros</w:t>
      </w:r>
      <w:r w:rsidRPr="005A519C">
        <w:rPr>
          <w:rFonts w:ascii="Times New Roman" w:eastAsia="Times New Roman" w:hAnsi="Times New Roman" w:cs="Times New Roman"/>
          <w:sz w:val="24"/>
          <w:szCs w:val="24"/>
          <w:lang w:eastAsia="es-ES"/>
        </w:rPr>
        <w:t xml:space="preserve"> y </w:t>
      </w:r>
      <w:r w:rsidRPr="005A519C">
        <w:rPr>
          <w:rFonts w:ascii="Times New Roman" w:eastAsia="Times New Roman" w:hAnsi="Times New Roman" w:cs="Times New Roman"/>
          <w:i/>
          <w:iCs/>
          <w:sz w:val="24"/>
          <w:szCs w:val="24"/>
          <w:lang w:eastAsia="es-ES"/>
        </w:rPr>
        <w:t>especies</w:t>
      </w:r>
      <w:r w:rsidRPr="005A519C">
        <w:rPr>
          <w:rFonts w:ascii="Times New Roman" w:eastAsia="Times New Roman" w:hAnsi="Times New Roman" w:cs="Times New Roman"/>
          <w:sz w:val="24"/>
          <w:szCs w:val="24"/>
          <w:lang w:eastAsia="es-ES"/>
        </w:rPr>
        <w:t>”</w:t>
      </w:r>
      <w:r w:rsidRPr="005A519C">
        <w:rPr>
          <w:rFonts w:ascii="Times New Roman" w:eastAsia="Times New Roman" w:hAnsi="Times New Roman" w:cs="Times New Roman"/>
          <w:sz w:val="24"/>
          <w:szCs w:val="24"/>
          <w:vertAlign w:val="superscript"/>
          <w:lang w:eastAsia="es-ES"/>
        </w:rPr>
        <w:footnoteReference w:id="20"/>
      </w:r>
      <w:r w:rsidRPr="005A519C">
        <w:rPr>
          <w:rFonts w:ascii="Times New Roman" w:eastAsia="Times New Roman" w:hAnsi="Times New Roman" w:cs="Times New Roman"/>
          <w:sz w:val="24"/>
          <w:szCs w:val="24"/>
          <w:lang w:eastAsia="es-ES"/>
        </w:rPr>
        <w:t>. Esta apuesta del Jui</w:t>
      </w:r>
      <w:r w:rsidR="00044184">
        <w:rPr>
          <w:rFonts w:ascii="Times New Roman" w:eastAsia="Times New Roman" w:hAnsi="Times New Roman" w:cs="Times New Roman"/>
          <w:sz w:val="24"/>
          <w:szCs w:val="24"/>
          <w:lang w:eastAsia="es-ES"/>
        </w:rPr>
        <w:t>cio por una legali</w:t>
      </w:r>
      <w:r w:rsidRPr="005A519C">
        <w:rPr>
          <w:rFonts w:ascii="Times New Roman" w:eastAsia="Times New Roman" w:hAnsi="Times New Roman" w:cs="Times New Roman"/>
          <w:sz w:val="24"/>
          <w:szCs w:val="24"/>
          <w:lang w:eastAsia="es-ES"/>
        </w:rPr>
        <w:t xml:space="preserve">dad favorable de lo empírico se expresa, como apunta Marco Sgarbi, por analogía con el arte y la técnica del hombre, configurando así el concepto, </w:t>
      </w:r>
      <w:r w:rsidRPr="005A519C">
        <w:rPr>
          <w:rFonts w:ascii="Times New Roman" w:eastAsia="Times New Roman" w:hAnsi="Times New Roman" w:cs="Times New Roman"/>
          <w:spacing w:val="-2"/>
          <w:sz w:val="24"/>
          <w:szCs w:val="24"/>
          <w:lang w:eastAsia="es-ES"/>
        </w:rPr>
        <w:t>clave en esa</w:t>
      </w:r>
      <w:r w:rsidRPr="005A519C">
        <w:rPr>
          <w:rFonts w:ascii="Times New Roman" w:eastAsia="Times New Roman" w:hAnsi="Times New Roman" w:cs="Times New Roman"/>
          <w:sz w:val="24"/>
          <w:szCs w:val="24"/>
          <w:lang w:eastAsia="es-ES"/>
        </w:rPr>
        <w:t xml:space="preserve"> </w:t>
      </w:r>
      <w:r w:rsidR="00044184">
        <w:rPr>
          <w:rFonts w:ascii="Times New Roman" w:eastAsia="Times New Roman" w:hAnsi="Times New Roman" w:cs="Times New Roman"/>
          <w:i/>
          <w:iCs/>
          <w:spacing w:val="-2"/>
          <w:sz w:val="24"/>
          <w:szCs w:val="24"/>
          <w:lang w:eastAsia="es-ES"/>
        </w:rPr>
        <w:t>Primera Introdu</w:t>
      </w:r>
      <w:r w:rsidRPr="005A519C">
        <w:rPr>
          <w:rFonts w:ascii="Times New Roman" w:eastAsia="Times New Roman" w:hAnsi="Times New Roman" w:cs="Times New Roman"/>
          <w:i/>
          <w:iCs/>
          <w:spacing w:val="-2"/>
          <w:sz w:val="24"/>
          <w:szCs w:val="24"/>
          <w:lang w:eastAsia="es-ES"/>
        </w:rPr>
        <w:t>cción</w:t>
      </w:r>
      <w:r w:rsidRPr="005A519C">
        <w:rPr>
          <w:rFonts w:ascii="Times New Roman" w:eastAsia="Times New Roman" w:hAnsi="Times New Roman" w:cs="Times New Roman"/>
          <w:sz w:val="24"/>
          <w:szCs w:val="24"/>
          <w:lang w:eastAsia="es-ES"/>
        </w:rPr>
        <w:t xml:space="preserve"> estudiada por Nuria Sánchez, de “técnica formal de la naturaleza”.</w:t>
      </w:r>
      <w:r w:rsidRPr="005A519C">
        <w:rPr>
          <w:rFonts w:ascii="Times New Roman" w:eastAsia="Times New Roman" w:hAnsi="Times New Roman" w:cs="Times New Roman"/>
          <w:spacing w:val="-2"/>
          <w:sz w:val="24"/>
          <w:szCs w:val="24"/>
          <w:lang w:eastAsia="es-ES"/>
        </w:rPr>
        <w:t xml:space="preserve"> Dicho concepto </w:t>
      </w:r>
      <w:r w:rsidRPr="005A519C">
        <w:rPr>
          <w:rFonts w:ascii="Times New Roman" w:eastAsia="Times New Roman" w:hAnsi="Times New Roman" w:cs="Times New Roman"/>
          <w:sz w:val="24"/>
          <w:szCs w:val="24"/>
          <w:lang w:eastAsia="es-ES"/>
        </w:rPr>
        <w:t xml:space="preserve">supone, entonces, una invitación a razonar </w:t>
      </w:r>
      <w:r w:rsidRPr="005A519C">
        <w:rPr>
          <w:rFonts w:ascii="Times New Roman" w:eastAsia="Times New Roman" w:hAnsi="Times New Roman" w:cs="Times New Roman"/>
          <w:i/>
          <w:iCs/>
          <w:sz w:val="24"/>
          <w:szCs w:val="24"/>
          <w:lang w:eastAsia="es-ES"/>
        </w:rPr>
        <w:t>como si</w:t>
      </w:r>
      <w:r w:rsidRPr="005A519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i/>
          <w:iCs/>
          <w:sz w:val="24"/>
          <w:szCs w:val="24"/>
          <w:lang w:eastAsia="es-ES"/>
        </w:rPr>
        <w:t>als ob</w:t>
      </w:r>
      <w:r w:rsidRPr="005A519C">
        <w:rPr>
          <w:rFonts w:ascii="Times New Roman" w:eastAsia="Times New Roman" w:hAnsi="Times New Roman" w:cs="Times New Roman"/>
          <w:sz w:val="24"/>
          <w:szCs w:val="24"/>
          <w:lang w:eastAsia="es-ES"/>
        </w:rPr>
        <w:t>) lo natural tuviera una suerte de racionalidad oculta garantizada por una inteligencia suprema, causa y efecto de sí. Y es precisamente esa “inteligencia”, sobre la que no es po</w:t>
      </w:r>
      <w:r w:rsidR="00044184">
        <w:rPr>
          <w:rFonts w:ascii="Times New Roman" w:eastAsia="Times New Roman" w:hAnsi="Times New Roman" w:cs="Times New Roman"/>
          <w:sz w:val="24"/>
          <w:szCs w:val="24"/>
          <w:lang w:eastAsia="es-ES"/>
        </w:rPr>
        <w:t>sible edificar conclusiones dog</w:t>
      </w:r>
      <w:r w:rsidRPr="005A519C">
        <w:rPr>
          <w:rFonts w:ascii="Times New Roman" w:eastAsia="Times New Roman" w:hAnsi="Times New Roman" w:cs="Times New Roman"/>
          <w:sz w:val="24"/>
          <w:szCs w:val="24"/>
          <w:lang w:eastAsia="es-ES"/>
        </w:rPr>
        <w:t xml:space="preserve">máticas, el fundamento suprasensible del </w:t>
      </w:r>
      <w:r w:rsidRPr="005A519C">
        <w:rPr>
          <w:rFonts w:ascii="Times New Roman" w:eastAsia="Times New Roman" w:hAnsi="Times New Roman" w:cs="Times New Roman"/>
          <w:i/>
          <w:iCs/>
          <w:sz w:val="24"/>
          <w:szCs w:val="24"/>
          <w:lang w:eastAsia="es-ES"/>
        </w:rPr>
        <w:t>a priori</w:t>
      </w:r>
      <w:r w:rsidRPr="005A519C">
        <w:rPr>
          <w:rFonts w:ascii="Times New Roman" w:eastAsia="Times New Roman" w:hAnsi="Times New Roman" w:cs="Times New Roman"/>
          <w:sz w:val="24"/>
          <w:szCs w:val="24"/>
          <w:lang w:eastAsia="es-ES"/>
        </w:rPr>
        <w:t xml:space="preserve"> del juzgar: la concepción mecanicista de la experiencia es, en consecuencia, superada. “</w:t>
      </w:r>
      <w:r w:rsidR="009D1052">
        <w:rPr>
          <w:rFonts w:ascii="Times New Roman" w:eastAsia="Times New Roman" w:hAnsi="Times New Roman" w:cs="Times New Roman"/>
          <w:sz w:val="24"/>
          <w:szCs w:val="24"/>
          <w:lang w:eastAsia="es-ES"/>
        </w:rPr>
        <w:t>Se trata de una lógica completa</w:t>
      </w:r>
      <w:r w:rsidRPr="005A519C">
        <w:rPr>
          <w:rFonts w:ascii="Times New Roman" w:eastAsia="Times New Roman" w:hAnsi="Times New Roman" w:cs="Times New Roman"/>
          <w:sz w:val="24"/>
          <w:szCs w:val="24"/>
          <w:lang w:eastAsia="es-ES"/>
        </w:rPr>
        <w:t xml:space="preserve">mente subjetiva que permite </w:t>
      </w:r>
      <w:r w:rsidRPr="005A519C">
        <w:rPr>
          <w:rFonts w:ascii="Times New Roman" w:eastAsia="Times New Roman" w:hAnsi="Times New Roman" w:cs="Times New Roman"/>
          <w:spacing w:val="-2"/>
          <w:sz w:val="24"/>
          <w:szCs w:val="24"/>
          <w:lang w:eastAsia="es-ES"/>
        </w:rPr>
        <w:t xml:space="preserve">el paso de la física a la metafísica, </w:t>
      </w:r>
      <w:r w:rsidRPr="005A519C">
        <w:rPr>
          <w:rFonts w:ascii="Times New Roman" w:eastAsia="Times New Roman" w:hAnsi="Times New Roman" w:cs="Times New Roman"/>
          <w:spacing w:val="-2"/>
          <w:sz w:val="24"/>
          <w:szCs w:val="24"/>
          <w:lang w:eastAsia="es-ES"/>
        </w:rPr>
        <w:lastRenderedPageBreak/>
        <w:t xml:space="preserve">una transición que parecía </w:t>
      </w:r>
      <w:r w:rsidRPr="005A519C">
        <w:rPr>
          <w:rFonts w:ascii="Times New Roman" w:eastAsia="Times New Roman" w:hAnsi="Times New Roman" w:cs="Times New Roman"/>
          <w:sz w:val="24"/>
          <w:szCs w:val="24"/>
          <w:lang w:eastAsia="es-ES"/>
        </w:rPr>
        <w:t xml:space="preserve">vetada definitivamente por la dialéctica trascendental de la </w:t>
      </w:r>
      <w:r w:rsidRPr="005A519C">
        <w:rPr>
          <w:rFonts w:ascii="Times New Roman" w:eastAsia="Times New Roman" w:hAnsi="Times New Roman" w:cs="Times New Roman"/>
          <w:i/>
          <w:iCs/>
          <w:sz w:val="24"/>
          <w:szCs w:val="24"/>
          <w:lang w:eastAsia="es-ES"/>
        </w:rPr>
        <w:t>Crítica de la razón pura</w:t>
      </w:r>
      <w:r w:rsidRPr="005A519C">
        <w:rPr>
          <w:rFonts w:ascii="Times New Roman" w:eastAsia="Times New Roman" w:hAnsi="Times New Roman" w:cs="Times New Roman"/>
          <w:sz w:val="24"/>
          <w:szCs w:val="24"/>
          <w:vertAlign w:val="superscript"/>
          <w:lang w:eastAsia="es-ES"/>
        </w:rPr>
        <w:footnoteReference w:id="21"/>
      </w:r>
      <w:r w:rsidRPr="005A519C">
        <w:rPr>
          <w:rFonts w:ascii="Times New Roman" w:eastAsia="Times New Roman" w:hAnsi="Times New Roman" w:cs="Times New Roman"/>
          <w:sz w:val="24"/>
          <w:szCs w:val="24"/>
          <w:lang w:eastAsia="es-ES"/>
        </w:rPr>
        <w:t>”.</w:t>
      </w:r>
    </w:p>
    <w:p w:rsidR="005A519C" w:rsidRPr="00612BA5" w:rsidRDefault="005A519C" w:rsidP="00612BA5">
      <w:pPr>
        <w:spacing w:after="0" w:line="360" w:lineRule="auto"/>
        <w:ind w:firstLine="360"/>
        <w:jc w:val="both"/>
        <w:rPr>
          <w:rFonts w:ascii="Times New Roman" w:eastAsia="Times New Roman" w:hAnsi="Times New Roman" w:cs="Times New Roman"/>
          <w:spacing w:val="-2"/>
          <w:sz w:val="24"/>
          <w:szCs w:val="24"/>
          <w:lang w:eastAsia="es-ES"/>
        </w:rPr>
      </w:pPr>
      <w:r w:rsidRPr="005A519C">
        <w:rPr>
          <w:rFonts w:ascii="Times New Roman" w:eastAsia="Times New Roman" w:hAnsi="Times New Roman" w:cs="Times New Roman"/>
          <w:sz w:val="24"/>
          <w:szCs w:val="24"/>
          <w:lang w:eastAsia="es-ES"/>
        </w:rPr>
        <w:t xml:space="preserve">Naturalmente, una vez analizado este uso teleológico del Juicio, resulta necesario un análisis del juicio reflexionante en su dimensión estética. Sin embargo, ambas vertientes comparten un aspecto que es fundamental en el estudio de las mismas, a saber: que ellas producen un </w:t>
      </w:r>
      <w:r w:rsidRPr="005A519C">
        <w:rPr>
          <w:rFonts w:ascii="Times New Roman" w:eastAsia="Times New Roman" w:hAnsi="Times New Roman" w:cs="Times New Roman"/>
          <w:i/>
          <w:iCs/>
          <w:sz w:val="24"/>
          <w:szCs w:val="24"/>
          <w:lang w:eastAsia="es-ES"/>
        </w:rPr>
        <w:t>sentimiento de placer</w:t>
      </w:r>
      <w:r w:rsidRPr="005A519C">
        <w:rPr>
          <w:rFonts w:ascii="Times New Roman" w:eastAsia="Times New Roman" w:hAnsi="Times New Roman" w:cs="Times New Roman"/>
          <w:sz w:val="24"/>
          <w:szCs w:val="24"/>
          <w:lang w:eastAsia="es-ES"/>
        </w:rPr>
        <w:t xml:space="preserve"> en el sujeto que juzga. Por lo dicho, parece claro que el deleite derivado del uso lógico de la facultad de juzgar depende de la conformidad de la misma con una naturaleza sobre la que nos es legítimo operar conceptualmente. Nuria Sánchez afirma, entonces, que la tercera </w:t>
      </w:r>
      <w:r w:rsidRPr="005A519C">
        <w:rPr>
          <w:rFonts w:ascii="Times New Roman" w:eastAsia="Times New Roman" w:hAnsi="Times New Roman" w:cs="Times New Roman"/>
          <w:i/>
          <w:iCs/>
          <w:sz w:val="24"/>
          <w:szCs w:val="24"/>
          <w:lang w:eastAsia="es-ES"/>
        </w:rPr>
        <w:t>Crítica</w:t>
      </w:r>
      <w:r w:rsidRPr="005A519C">
        <w:rPr>
          <w:rFonts w:ascii="Times New Roman" w:eastAsia="Times New Roman" w:hAnsi="Times New Roman" w:cs="Times New Roman"/>
          <w:sz w:val="24"/>
          <w:szCs w:val="24"/>
          <w:lang w:eastAsia="es-ES"/>
        </w:rPr>
        <w:t xml:space="preserve"> “anima</w:t>
      </w:r>
      <w:r w:rsidR="00680A13">
        <w:rPr>
          <w:rFonts w:ascii="Times New Roman" w:eastAsia="Times New Roman" w:hAnsi="Times New Roman" w:cs="Times New Roman"/>
          <w:sz w:val="24"/>
          <w:szCs w:val="24"/>
          <w:lang w:eastAsia="es-ES"/>
        </w:rPr>
        <w:t xml:space="preserve"> a recuperar con intención tera</w:t>
      </w:r>
      <w:r w:rsidRPr="005A519C">
        <w:rPr>
          <w:rFonts w:ascii="Times New Roman" w:eastAsia="Times New Roman" w:hAnsi="Times New Roman" w:cs="Times New Roman"/>
          <w:sz w:val="24"/>
          <w:szCs w:val="24"/>
          <w:lang w:eastAsia="es-ES"/>
        </w:rPr>
        <w:t xml:space="preserve">péutica la imagen de un estado </w:t>
      </w:r>
      <w:r w:rsidRPr="005A519C">
        <w:rPr>
          <w:rFonts w:ascii="Times New Roman" w:eastAsia="Times New Roman" w:hAnsi="Times New Roman" w:cs="Times New Roman"/>
          <w:spacing w:val="-2"/>
          <w:sz w:val="24"/>
          <w:szCs w:val="24"/>
          <w:lang w:eastAsia="es-ES"/>
        </w:rPr>
        <w:t>soñado de satisfacción</w:t>
      </w:r>
      <w:r w:rsidRPr="005A519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pacing w:val="-2"/>
          <w:sz w:val="24"/>
          <w:szCs w:val="24"/>
          <w:lang w:eastAsia="es-ES"/>
        </w:rPr>
        <w:t xml:space="preserve">completa, bajo la figura del </w:t>
      </w:r>
      <w:r w:rsidRPr="005A519C">
        <w:rPr>
          <w:rFonts w:ascii="Times New Roman" w:eastAsia="Times New Roman" w:hAnsi="Times New Roman" w:cs="Times New Roman"/>
          <w:i/>
          <w:iCs/>
          <w:spacing w:val="-2"/>
          <w:sz w:val="24"/>
          <w:szCs w:val="24"/>
          <w:lang w:eastAsia="es-ES"/>
        </w:rPr>
        <w:t>factum</w:t>
      </w:r>
      <w:r w:rsidRPr="005A519C">
        <w:rPr>
          <w:rFonts w:ascii="Times New Roman" w:eastAsia="Times New Roman" w:hAnsi="Times New Roman" w:cs="Times New Roman"/>
          <w:i/>
          <w:iCs/>
          <w:sz w:val="24"/>
          <w:szCs w:val="24"/>
          <w:lang w:eastAsia="es-ES"/>
        </w:rPr>
        <w:t xml:space="preserve"> </w:t>
      </w:r>
      <w:r w:rsidRPr="005A519C">
        <w:rPr>
          <w:rFonts w:ascii="Times New Roman" w:eastAsia="Times New Roman" w:hAnsi="Times New Roman" w:cs="Times New Roman"/>
          <w:sz w:val="24"/>
          <w:szCs w:val="24"/>
          <w:lang w:eastAsia="es-ES"/>
        </w:rPr>
        <w:t xml:space="preserve">de la captación de las formas múltiples del mundo por nuestro </w:t>
      </w:r>
      <w:r w:rsidR="00A41956">
        <w:rPr>
          <w:rFonts w:ascii="Times New Roman" w:eastAsia="Times New Roman" w:hAnsi="Times New Roman" w:cs="Times New Roman"/>
          <w:sz w:val="24"/>
          <w:szCs w:val="24"/>
          <w:lang w:eastAsia="es-ES"/>
        </w:rPr>
        <w:t>Juicio. Con ello se descu</w:t>
      </w:r>
      <w:r w:rsidRPr="005A519C">
        <w:rPr>
          <w:rFonts w:ascii="Times New Roman" w:eastAsia="Times New Roman" w:hAnsi="Times New Roman" w:cs="Times New Roman"/>
          <w:sz w:val="24"/>
          <w:szCs w:val="24"/>
          <w:lang w:eastAsia="es-ES"/>
        </w:rPr>
        <w:t>bre un placer prístino ya olvidado, pero que debió de exi</w:t>
      </w:r>
      <w:r w:rsidR="00A41956">
        <w:rPr>
          <w:rFonts w:ascii="Times New Roman" w:eastAsia="Times New Roman" w:hAnsi="Times New Roman" w:cs="Times New Roman"/>
          <w:sz w:val="24"/>
          <w:szCs w:val="24"/>
          <w:lang w:eastAsia="es-ES"/>
        </w:rPr>
        <w:t>stir en un tiempo del que no lo</w:t>
      </w:r>
      <w:r w:rsidRPr="005A519C">
        <w:rPr>
          <w:rFonts w:ascii="Times New Roman" w:eastAsia="Times New Roman" w:hAnsi="Times New Roman" w:cs="Times New Roman"/>
          <w:sz w:val="24"/>
          <w:szCs w:val="24"/>
          <w:lang w:eastAsia="es-ES"/>
        </w:rPr>
        <w:t>gramos acordarnos y que reaparece cada vez que asis</w:t>
      </w:r>
      <w:r w:rsidR="00A41956">
        <w:rPr>
          <w:rFonts w:ascii="Times New Roman" w:eastAsia="Times New Roman" w:hAnsi="Times New Roman" w:cs="Times New Roman"/>
          <w:sz w:val="24"/>
          <w:szCs w:val="24"/>
          <w:lang w:eastAsia="es-ES"/>
        </w:rPr>
        <w:t>timos al acontecimiento de apro</w:t>
      </w:r>
      <w:r w:rsidRPr="005A519C">
        <w:rPr>
          <w:rFonts w:ascii="Times New Roman" w:eastAsia="Times New Roman" w:hAnsi="Times New Roman" w:cs="Times New Roman"/>
          <w:sz w:val="24"/>
          <w:szCs w:val="24"/>
          <w:lang w:eastAsia="es-ES"/>
        </w:rPr>
        <w:t>piación recíproca de la naturaleza y de las especies y géneros lógicos”</w:t>
      </w:r>
      <w:r w:rsidRPr="005A519C">
        <w:rPr>
          <w:rFonts w:ascii="Times New Roman" w:eastAsia="Times New Roman" w:hAnsi="Times New Roman" w:cs="Times New Roman"/>
          <w:sz w:val="24"/>
          <w:szCs w:val="24"/>
          <w:vertAlign w:val="superscript"/>
          <w:lang w:eastAsia="es-ES"/>
        </w:rPr>
        <w:footnoteReference w:id="22"/>
      </w:r>
      <w:r w:rsidRPr="005A519C">
        <w:rPr>
          <w:rFonts w:ascii="Times New Roman" w:eastAsia="Times New Roman" w:hAnsi="Times New Roman" w:cs="Times New Roman"/>
          <w:sz w:val="24"/>
          <w:szCs w:val="24"/>
          <w:lang w:eastAsia="es-ES"/>
        </w:rPr>
        <w:t>. De manera que ese placer no es producido por la consumación de un deseo personal, ni tampoco a causa de la corroboración intersubjetiva de una ley moral concreta: se goza, meramente, con la eficacia futura de nuestras facultades cognitivas. Para Kan</w:t>
      </w:r>
      <w:r w:rsidR="00680A13">
        <w:rPr>
          <w:rFonts w:ascii="Times New Roman" w:eastAsia="Times New Roman" w:hAnsi="Times New Roman" w:cs="Times New Roman"/>
          <w:sz w:val="24"/>
          <w:szCs w:val="24"/>
          <w:lang w:eastAsia="es-ES"/>
        </w:rPr>
        <w:t>t, en tanto que sujetos trascen</w:t>
      </w:r>
      <w:r w:rsidRPr="005A519C">
        <w:rPr>
          <w:rFonts w:ascii="Times New Roman" w:eastAsia="Times New Roman" w:hAnsi="Times New Roman" w:cs="Times New Roman"/>
          <w:sz w:val="24"/>
          <w:szCs w:val="24"/>
          <w:lang w:eastAsia="es-ES"/>
        </w:rPr>
        <w:t>dentales, dicho disfrute es experimentable, si y sólo si, el sujeto participa de principios</w:t>
      </w:r>
      <w:r w:rsidRPr="005A519C">
        <w:rPr>
          <w:rFonts w:ascii="Times New Roman" w:eastAsia="Times New Roman" w:hAnsi="Times New Roman" w:cs="Times New Roman"/>
          <w:i/>
          <w:iCs/>
          <w:sz w:val="24"/>
          <w:szCs w:val="24"/>
          <w:lang w:eastAsia="es-ES"/>
        </w:rPr>
        <w:t xml:space="preserve"> a priori</w:t>
      </w:r>
      <w:r w:rsidRPr="005A519C">
        <w:rPr>
          <w:rFonts w:ascii="Times New Roman" w:eastAsia="Times New Roman" w:hAnsi="Times New Roman" w:cs="Times New Roman"/>
          <w:sz w:val="24"/>
          <w:szCs w:val="24"/>
          <w:lang w:eastAsia="es-ES"/>
        </w:rPr>
        <w:t xml:space="preserve"> que pueden comportarse autónomamente. Ahora bien, Óscar Cubo puntualiza que dicho placer disminuye progresivamente, pues la vida cotidiana nos familiariza con esos rasgos salientes susceptibles de englobarse bajo un concepto; el asombro</w:t>
      </w:r>
      <w:r w:rsidRPr="005A519C">
        <w:rPr>
          <w:rFonts w:ascii="Times New Roman" w:eastAsia="Times New Roman" w:hAnsi="Times New Roman" w:cs="Times New Roman"/>
          <w:sz w:val="24"/>
          <w:szCs w:val="24"/>
          <w:vertAlign w:val="superscript"/>
          <w:lang w:eastAsia="es-ES"/>
        </w:rPr>
        <w:footnoteReference w:id="23"/>
      </w:r>
      <w:r w:rsidRPr="005A519C">
        <w:rPr>
          <w:rFonts w:ascii="Times New Roman" w:eastAsia="Times New Roman" w:hAnsi="Times New Roman" w:cs="Times New Roman"/>
          <w:sz w:val="24"/>
          <w:szCs w:val="24"/>
          <w:lang w:eastAsia="es-ES"/>
        </w:rPr>
        <w:t xml:space="preserve"> se evapora y la felicidad espontánea se diluye. Muy al contrario, los ju</w:t>
      </w:r>
      <w:r w:rsidR="00A41956">
        <w:rPr>
          <w:rFonts w:ascii="Times New Roman" w:eastAsia="Times New Roman" w:hAnsi="Times New Roman" w:cs="Times New Roman"/>
          <w:sz w:val="24"/>
          <w:szCs w:val="24"/>
          <w:lang w:eastAsia="es-ES"/>
        </w:rPr>
        <w:t>icios reflexionantes de tipo es</w:t>
      </w:r>
      <w:r w:rsidRPr="005A519C">
        <w:rPr>
          <w:rFonts w:ascii="Times New Roman" w:eastAsia="Times New Roman" w:hAnsi="Times New Roman" w:cs="Times New Roman"/>
          <w:sz w:val="24"/>
          <w:szCs w:val="24"/>
          <w:lang w:eastAsia="es-ES"/>
        </w:rPr>
        <w:t>tético originan placer o displacer en relación con una representación dada</w:t>
      </w:r>
      <w:r w:rsidR="009D1052">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Luego sólo proporcionan información  sobre la subjetividad individual del que experimenta: según Sgarbi,</w:t>
      </w:r>
      <w:r w:rsidR="00DF3030">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 xml:space="preserve">“el juicio estético es, por lo tanto, lo que enjuicia las cosas de manera universal </w:t>
      </w:r>
      <w:r w:rsidR="009D1052">
        <w:rPr>
          <w:rFonts w:ascii="Times New Roman" w:eastAsia="Times New Roman" w:hAnsi="Times New Roman" w:cs="Times New Roman"/>
          <w:sz w:val="24"/>
          <w:szCs w:val="24"/>
          <w:lang w:eastAsia="es-ES"/>
        </w:rPr>
        <w:t>a través de la reflexión del su</w:t>
      </w:r>
      <w:r w:rsidRPr="005A519C">
        <w:rPr>
          <w:rFonts w:ascii="Times New Roman" w:eastAsia="Times New Roman" w:hAnsi="Times New Roman" w:cs="Times New Roman"/>
          <w:sz w:val="24"/>
          <w:szCs w:val="24"/>
          <w:lang w:eastAsia="es-ES"/>
        </w:rPr>
        <w:t xml:space="preserve">jeto sobre su propio estado, lo que acontece cuando se rechaza </w:t>
      </w:r>
      <w:r w:rsidR="009D1052">
        <w:rPr>
          <w:rFonts w:ascii="Times New Roman" w:eastAsia="Times New Roman" w:hAnsi="Times New Roman" w:cs="Times New Roman"/>
          <w:sz w:val="24"/>
          <w:szCs w:val="24"/>
          <w:lang w:eastAsia="es-ES"/>
        </w:rPr>
        <w:t>toda regla y todo concep</w:t>
      </w:r>
      <w:r w:rsidRPr="005A519C">
        <w:rPr>
          <w:rFonts w:ascii="Times New Roman" w:eastAsia="Times New Roman" w:hAnsi="Times New Roman" w:cs="Times New Roman"/>
          <w:sz w:val="24"/>
          <w:szCs w:val="24"/>
          <w:lang w:eastAsia="es-ES"/>
        </w:rPr>
        <w:t>to”</w:t>
      </w:r>
      <w:r w:rsidRPr="005A519C">
        <w:rPr>
          <w:rFonts w:ascii="Times New Roman" w:eastAsia="Times New Roman" w:hAnsi="Times New Roman" w:cs="Times New Roman"/>
          <w:sz w:val="24"/>
          <w:szCs w:val="24"/>
          <w:vertAlign w:val="superscript"/>
          <w:lang w:eastAsia="es-ES"/>
        </w:rPr>
        <w:footnoteReference w:id="24"/>
      </w:r>
      <w:r w:rsidRPr="005A519C">
        <w:rPr>
          <w:rFonts w:ascii="Times New Roman" w:eastAsia="Times New Roman" w:hAnsi="Times New Roman" w:cs="Times New Roman"/>
          <w:sz w:val="24"/>
          <w:szCs w:val="24"/>
          <w:lang w:eastAsia="es-ES"/>
        </w:rPr>
        <w:t xml:space="preserve">. No obstante, hay que distinguir entre los juicios estéticos </w:t>
      </w:r>
      <w:r w:rsidRPr="005A519C">
        <w:rPr>
          <w:rFonts w:ascii="Times New Roman" w:eastAsia="Times New Roman" w:hAnsi="Times New Roman" w:cs="Times New Roman"/>
          <w:i/>
          <w:iCs/>
          <w:sz w:val="24"/>
          <w:szCs w:val="24"/>
          <w:lang w:eastAsia="es-ES"/>
        </w:rPr>
        <w:t>empíricos</w:t>
      </w:r>
      <w:r w:rsidRPr="005A519C">
        <w:rPr>
          <w:rFonts w:ascii="Times New Roman" w:eastAsia="Times New Roman" w:hAnsi="Times New Roman" w:cs="Times New Roman"/>
          <w:sz w:val="24"/>
          <w:szCs w:val="24"/>
          <w:lang w:eastAsia="es-ES"/>
        </w:rPr>
        <w:t xml:space="preserve"> y los llamados </w:t>
      </w:r>
      <w:r w:rsidRPr="005A519C">
        <w:rPr>
          <w:rFonts w:ascii="Times New Roman" w:eastAsia="Times New Roman" w:hAnsi="Times New Roman" w:cs="Times New Roman"/>
          <w:i/>
          <w:iCs/>
          <w:sz w:val="24"/>
          <w:szCs w:val="24"/>
          <w:lang w:eastAsia="es-ES"/>
        </w:rPr>
        <w:t>puros</w:t>
      </w:r>
      <w:r w:rsidRPr="005A519C">
        <w:rPr>
          <w:rFonts w:ascii="Times New Roman" w:eastAsia="Times New Roman" w:hAnsi="Times New Roman" w:cs="Times New Roman"/>
          <w:sz w:val="24"/>
          <w:szCs w:val="24"/>
          <w:lang w:eastAsia="es-ES"/>
        </w:rPr>
        <w:t xml:space="preserve">. Pues bien, en </w:t>
      </w:r>
      <w:r w:rsidRPr="005A519C">
        <w:rPr>
          <w:rFonts w:ascii="Times New Roman" w:eastAsia="Times New Roman" w:hAnsi="Times New Roman" w:cs="Times New Roman"/>
          <w:sz w:val="24"/>
          <w:szCs w:val="24"/>
          <w:lang w:eastAsia="es-ES"/>
        </w:rPr>
        <w:lastRenderedPageBreak/>
        <w:t xml:space="preserve">primer lugar, estos son fruto de la sensación, mientras que aquellos surgen de la reflexión sobre la forma de ciertos objetos; por otra parte, la estructura sintáctica que caracteriza a los empíricos es “x es agradable (para mí)”, a los juicios puros “x es bello”; y, por último, la pretensión de </w:t>
      </w:r>
      <w:r w:rsidRPr="005A519C">
        <w:rPr>
          <w:rFonts w:ascii="Times New Roman" w:eastAsia="Times New Roman" w:hAnsi="Times New Roman" w:cs="Times New Roman"/>
          <w:i/>
          <w:iCs/>
          <w:sz w:val="24"/>
          <w:szCs w:val="24"/>
          <w:lang w:eastAsia="es-ES"/>
        </w:rPr>
        <w:t>universalidad</w:t>
      </w:r>
      <w:r w:rsidRPr="005A519C">
        <w:rPr>
          <w:rFonts w:ascii="Times New Roman" w:eastAsia="Times New Roman" w:hAnsi="Times New Roman" w:cs="Times New Roman"/>
          <w:sz w:val="24"/>
          <w:szCs w:val="24"/>
          <w:lang w:eastAsia="es-ES"/>
        </w:rPr>
        <w:t xml:space="preserve">, reconocible en los segundos, se encuentra ausente en los primeros. Por tanto, y en la medida en que esa universalidad es precisamente el criterio distintivo de los principios trascendentales, el análisis crítico ha de centrarse en </w:t>
      </w:r>
      <w:r w:rsidRPr="005A519C">
        <w:rPr>
          <w:rFonts w:ascii="Times New Roman" w:eastAsia="Times New Roman" w:hAnsi="Times New Roman" w:cs="Times New Roman"/>
          <w:i/>
          <w:iCs/>
          <w:sz w:val="24"/>
          <w:szCs w:val="24"/>
          <w:lang w:eastAsia="es-ES"/>
        </w:rPr>
        <w:t>los juicios estéticos puros</w:t>
      </w:r>
      <w:r w:rsidRPr="005A519C">
        <w:rPr>
          <w:rFonts w:ascii="Times New Roman" w:eastAsia="Times New Roman" w:hAnsi="Times New Roman" w:cs="Times New Roman"/>
          <w:sz w:val="24"/>
          <w:szCs w:val="24"/>
          <w:lang w:eastAsia="es-ES"/>
        </w:rPr>
        <w:t>, último hito a</w:t>
      </w:r>
      <w:r w:rsidRPr="005A519C">
        <w:rPr>
          <w:rFonts w:ascii="Times New Roman" w:eastAsia="Times New Roman" w:hAnsi="Times New Roman" w:cs="Times New Roman"/>
          <w:spacing w:val="-2"/>
          <w:sz w:val="24"/>
          <w:szCs w:val="24"/>
          <w:lang w:eastAsia="es-ES"/>
        </w:rPr>
        <w:t xml:space="preserve"> </w:t>
      </w:r>
      <w:r w:rsidRPr="005A519C">
        <w:rPr>
          <w:rFonts w:ascii="Times New Roman" w:eastAsia="Times New Roman" w:hAnsi="Times New Roman" w:cs="Times New Roman"/>
          <w:sz w:val="24"/>
          <w:szCs w:val="24"/>
          <w:lang w:eastAsia="es-ES"/>
        </w:rPr>
        <w:t>recorrer</w:t>
      </w:r>
      <w:r w:rsidRPr="005A519C">
        <w:rPr>
          <w:rFonts w:ascii="Times New Roman" w:eastAsia="Times New Roman" w:hAnsi="Times New Roman" w:cs="Times New Roman"/>
          <w:spacing w:val="-2"/>
          <w:sz w:val="24"/>
          <w:szCs w:val="24"/>
          <w:lang w:eastAsia="es-ES"/>
        </w:rPr>
        <w:t xml:space="preserve"> </w:t>
      </w:r>
      <w:r w:rsidRPr="005A519C">
        <w:rPr>
          <w:rFonts w:ascii="Times New Roman" w:eastAsia="Times New Roman" w:hAnsi="Times New Roman" w:cs="Times New Roman"/>
          <w:sz w:val="24"/>
          <w:szCs w:val="24"/>
          <w:lang w:eastAsia="es-ES"/>
        </w:rPr>
        <w:t>en</w:t>
      </w:r>
      <w:r w:rsidRPr="005A519C">
        <w:rPr>
          <w:rFonts w:ascii="Times New Roman" w:eastAsia="Times New Roman" w:hAnsi="Times New Roman" w:cs="Times New Roman"/>
          <w:spacing w:val="-2"/>
          <w:sz w:val="24"/>
          <w:szCs w:val="24"/>
          <w:lang w:eastAsia="es-ES"/>
        </w:rPr>
        <w:t xml:space="preserve"> </w:t>
      </w:r>
      <w:r w:rsidRPr="005A519C">
        <w:rPr>
          <w:rFonts w:ascii="Times New Roman" w:eastAsia="Times New Roman" w:hAnsi="Times New Roman" w:cs="Times New Roman"/>
          <w:sz w:val="24"/>
          <w:szCs w:val="24"/>
          <w:lang w:eastAsia="es-ES"/>
        </w:rPr>
        <w:t xml:space="preserve">estas </w:t>
      </w:r>
      <w:r w:rsidRPr="005A519C">
        <w:rPr>
          <w:rFonts w:ascii="Times New Roman" w:eastAsia="Times New Roman" w:hAnsi="Times New Roman" w:cs="Times New Roman"/>
          <w:spacing w:val="-2"/>
          <w:sz w:val="24"/>
          <w:szCs w:val="24"/>
          <w:lang w:eastAsia="es-ES"/>
        </w:rPr>
        <w:t>pocas líneas.</w:t>
      </w:r>
    </w:p>
    <w:p w:rsidR="00C93ACA" w:rsidRDefault="005A519C" w:rsidP="00C93ACA">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En la interpretación de Sgarbi se sostiene que,</w:t>
      </w:r>
      <w:r w:rsidR="00AE15FA">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 xml:space="preserve">“para Kant, sólo era posible tender un puente hasta el juicio teleológico a partir de una determinada concepción de lo bello </w:t>
      </w:r>
      <w:r w:rsidRPr="005A519C">
        <w:rPr>
          <w:rFonts w:ascii="Times New Roman" w:eastAsia="Times New Roman" w:hAnsi="Times New Roman" w:cs="Times New Roman"/>
          <w:spacing w:val="-2"/>
          <w:sz w:val="24"/>
          <w:szCs w:val="24"/>
          <w:lang w:eastAsia="es-ES"/>
        </w:rPr>
        <w:t>que lo estableciera como universal y símbolo del bien moral”</w:t>
      </w:r>
      <w:r w:rsidRPr="005A519C">
        <w:rPr>
          <w:rFonts w:ascii="Times New Roman" w:eastAsia="Times New Roman" w:hAnsi="Times New Roman" w:cs="Times New Roman"/>
          <w:spacing w:val="-2"/>
          <w:sz w:val="24"/>
          <w:szCs w:val="24"/>
          <w:vertAlign w:val="superscript"/>
          <w:lang w:eastAsia="es-ES"/>
        </w:rPr>
        <w:footnoteReference w:id="25"/>
      </w:r>
      <w:r w:rsidRPr="005A519C">
        <w:rPr>
          <w:rFonts w:ascii="Times New Roman" w:eastAsia="Times New Roman" w:hAnsi="Times New Roman" w:cs="Times New Roman"/>
          <w:spacing w:val="-2"/>
          <w:sz w:val="24"/>
          <w:szCs w:val="24"/>
          <w:lang w:eastAsia="es-ES"/>
        </w:rPr>
        <w:t xml:space="preserve">. </w:t>
      </w:r>
      <w:r w:rsidRPr="005A519C">
        <w:rPr>
          <w:rFonts w:ascii="Times New Roman" w:eastAsia="Times New Roman" w:hAnsi="Times New Roman" w:cs="Times New Roman"/>
          <w:sz w:val="24"/>
          <w:szCs w:val="24"/>
          <w:lang w:eastAsia="es-ES"/>
        </w:rPr>
        <w:t>De hecho, el filósofo italiano insiste en la prioridad de los juicios estéticos puros frente a los teleológicos, ya que estos son primordial y radicalmente</w:t>
      </w:r>
      <w:r w:rsidRPr="005A519C">
        <w:rPr>
          <w:rFonts w:ascii="Times New Roman" w:eastAsia="Times New Roman" w:hAnsi="Times New Roman" w:cs="Times New Roman"/>
          <w:i/>
          <w:iCs/>
          <w:sz w:val="24"/>
          <w:szCs w:val="24"/>
          <w:lang w:eastAsia="es-ES"/>
        </w:rPr>
        <w:t xml:space="preserve"> a priori</w:t>
      </w:r>
      <w:r w:rsidRPr="005A519C">
        <w:rPr>
          <w:rFonts w:ascii="Times New Roman" w:eastAsia="Times New Roman" w:hAnsi="Times New Roman" w:cs="Times New Roman"/>
          <w:sz w:val="24"/>
          <w:szCs w:val="24"/>
          <w:lang w:eastAsia="es-ES"/>
        </w:rPr>
        <w:t xml:space="preserve">: aunque estrechamente entretejida con la lógica, la estética kantiana conserva cierta legalidad irreductible que (quizás sea por su carácter </w:t>
      </w:r>
      <w:r w:rsidRPr="005A519C">
        <w:rPr>
          <w:rFonts w:ascii="Times New Roman" w:eastAsia="Times New Roman" w:hAnsi="Times New Roman" w:cs="Times New Roman"/>
          <w:i/>
          <w:iCs/>
          <w:sz w:val="24"/>
          <w:szCs w:val="24"/>
          <w:lang w:eastAsia="es-ES"/>
        </w:rPr>
        <w:t>irracional</w:t>
      </w:r>
      <w:r w:rsidRPr="005A519C">
        <w:rPr>
          <w:rFonts w:ascii="Times New Roman" w:eastAsia="Times New Roman" w:hAnsi="Times New Roman" w:cs="Times New Roman"/>
          <w:sz w:val="24"/>
          <w:szCs w:val="24"/>
          <w:lang w:eastAsia="es-ES"/>
        </w:rPr>
        <w:t>) permanece inaprensible conceptualmente. En efecto, es la propia belleza el motor que impulsa la búsqueda de una causa primera en la naturaleza, formando</w:t>
      </w:r>
      <w:r w:rsidR="00577FAC">
        <w:rPr>
          <w:rFonts w:ascii="Times New Roman" w:eastAsia="Times New Roman" w:hAnsi="Times New Roman" w:cs="Times New Roman"/>
          <w:sz w:val="24"/>
          <w:szCs w:val="24"/>
          <w:lang w:eastAsia="es-ES"/>
        </w:rPr>
        <w:t xml:space="preserve">, así, </w:t>
      </w:r>
      <w:r w:rsidRPr="005A519C">
        <w:rPr>
          <w:rFonts w:ascii="Times New Roman" w:eastAsia="Times New Roman" w:hAnsi="Times New Roman" w:cs="Times New Roman"/>
          <w:sz w:val="24"/>
          <w:szCs w:val="24"/>
          <w:lang w:eastAsia="es-ES"/>
        </w:rPr>
        <w:t>parte</w:t>
      </w:r>
      <w:r w:rsidR="00577FA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sz w:val="24"/>
          <w:szCs w:val="24"/>
          <w:lang w:eastAsia="es-ES"/>
        </w:rPr>
        <w:t>de la filosofía trascendental. Ello no implica, en cambio, que la belleza misma se encuentre atravesada por esa teleología, sino que, justamente al contrario, algo nos parece bello en la medida en que es</w:t>
      </w:r>
      <w:r w:rsidR="00DF3030">
        <w:rPr>
          <w:rFonts w:ascii="Times New Roman" w:eastAsia="Times New Roman" w:hAnsi="Times New Roman" w:cs="Times New Roman"/>
          <w:sz w:val="24"/>
          <w:szCs w:val="24"/>
          <w:lang w:eastAsia="es-ES"/>
        </w:rPr>
        <w:t>e sentimiento emerge de una con</w:t>
      </w:r>
      <w:r w:rsidRPr="005A519C">
        <w:rPr>
          <w:rFonts w:ascii="Times New Roman" w:eastAsia="Times New Roman" w:hAnsi="Times New Roman" w:cs="Times New Roman"/>
          <w:sz w:val="24"/>
          <w:szCs w:val="24"/>
          <w:lang w:eastAsia="es-ES"/>
        </w:rPr>
        <w:t xml:space="preserve">templación </w:t>
      </w:r>
      <w:r w:rsidRPr="005A519C">
        <w:rPr>
          <w:rFonts w:ascii="Times New Roman" w:eastAsia="Times New Roman" w:hAnsi="Times New Roman" w:cs="Times New Roman"/>
          <w:i/>
          <w:iCs/>
          <w:sz w:val="24"/>
          <w:szCs w:val="24"/>
          <w:lang w:eastAsia="es-ES"/>
        </w:rPr>
        <w:t>desinteresada</w:t>
      </w:r>
      <w:r w:rsidRPr="005A519C">
        <w:rPr>
          <w:rFonts w:ascii="Times New Roman" w:eastAsia="Times New Roman" w:hAnsi="Times New Roman" w:cs="Times New Roman"/>
          <w:sz w:val="24"/>
          <w:szCs w:val="24"/>
          <w:lang w:eastAsia="es-ES"/>
        </w:rPr>
        <w:t xml:space="preserve"> de dicho objeto. Es decir, se postula la imparcialidad total del sujeto, un sujeto que juzga lo bello </w:t>
      </w:r>
      <w:r w:rsidRPr="005A519C">
        <w:rPr>
          <w:rFonts w:ascii="Times New Roman" w:eastAsia="Times New Roman" w:hAnsi="Times New Roman" w:cs="Times New Roman"/>
          <w:i/>
          <w:iCs/>
          <w:sz w:val="24"/>
          <w:szCs w:val="24"/>
          <w:lang w:eastAsia="es-ES"/>
        </w:rPr>
        <w:t>como si</w:t>
      </w:r>
      <w:r w:rsidRPr="005A519C">
        <w:rPr>
          <w:rFonts w:ascii="Times New Roman" w:eastAsia="Times New Roman" w:hAnsi="Times New Roman" w:cs="Times New Roman"/>
          <w:sz w:val="24"/>
          <w:szCs w:val="24"/>
          <w:lang w:eastAsia="es-ES"/>
        </w:rPr>
        <w:t xml:space="preserve"> se tratara de</w:t>
      </w:r>
      <w:r w:rsidR="00DF3030">
        <w:rPr>
          <w:rFonts w:ascii="Times New Roman" w:eastAsia="Times New Roman" w:hAnsi="Times New Roman" w:cs="Times New Roman"/>
          <w:sz w:val="24"/>
          <w:szCs w:val="24"/>
          <w:lang w:eastAsia="es-ES"/>
        </w:rPr>
        <w:t xml:space="preserve"> una propiedad inherente y obje</w:t>
      </w:r>
      <w:r w:rsidRPr="005A519C">
        <w:rPr>
          <w:rFonts w:ascii="Times New Roman" w:eastAsia="Times New Roman" w:hAnsi="Times New Roman" w:cs="Times New Roman"/>
          <w:sz w:val="24"/>
          <w:szCs w:val="24"/>
          <w:lang w:eastAsia="es-ES"/>
        </w:rPr>
        <w:t xml:space="preserve">tiva, </w:t>
      </w:r>
      <w:r w:rsidR="00985E29">
        <w:rPr>
          <w:rFonts w:ascii="Times New Roman" w:eastAsia="Times New Roman" w:hAnsi="Times New Roman" w:cs="Times New Roman"/>
          <w:sz w:val="24"/>
          <w:szCs w:val="24"/>
          <w:lang w:eastAsia="es-ES"/>
        </w:rPr>
        <w:t>mas apartándose del dogmatismo</w:t>
      </w:r>
      <w:r w:rsidRPr="005A519C">
        <w:rPr>
          <w:rFonts w:ascii="Times New Roman" w:eastAsia="Times New Roman" w:hAnsi="Times New Roman" w:cs="Times New Roman"/>
          <w:sz w:val="24"/>
          <w:szCs w:val="24"/>
          <w:vertAlign w:val="superscript"/>
          <w:lang w:eastAsia="es-ES"/>
        </w:rPr>
        <w:footnoteReference w:id="26"/>
      </w:r>
      <w:r w:rsidR="00DF3030">
        <w:rPr>
          <w:rFonts w:ascii="Times New Roman" w:eastAsia="Times New Roman" w:hAnsi="Times New Roman" w:cs="Times New Roman"/>
          <w:sz w:val="24"/>
          <w:szCs w:val="24"/>
          <w:lang w:eastAsia="es-ES"/>
        </w:rPr>
        <w:t>. D</w:t>
      </w:r>
      <w:r w:rsidRPr="005A519C">
        <w:rPr>
          <w:rFonts w:ascii="Times New Roman" w:eastAsia="Times New Roman" w:hAnsi="Times New Roman" w:cs="Times New Roman"/>
          <w:sz w:val="24"/>
          <w:szCs w:val="24"/>
          <w:lang w:eastAsia="es-ES"/>
        </w:rPr>
        <w:t xml:space="preserve">el mismo modo, </w:t>
      </w:r>
      <w:r w:rsidR="00DF3030">
        <w:rPr>
          <w:rFonts w:ascii="Times New Roman" w:eastAsia="Times New Roman" w:hAnsi="Times New Roman" w:cs="Times New Roman"/>
          <w:sz w:val="24"/>
          <w:szCs w:val="24"/>
          <w:lang w:eastAsia="es-ES"/>
        </w:rPr>
        <w:t>este sujeto también se liberaría</w:t>
      </w:r>
      <w:r w:rsidRPr="005A519C">
        <w:rPr>
          <w:rFonts w:ascii="Times New Roman" w:eastAsia="Times New Roman" w:hAnsi="Times New Roman" w:cs="Times New Roman"/>
          <w:sz w:val="24"/>
          <w:szCs w:val="24"/>
          <w:lang w:eastAsia="es-ES"/>
        </w:rPr>
        <w:t xml:space="preserve"> de toda meta teórica o práctica. Es esa libertad, que recupera de nuevo la </w:t>
      </w:r>
      <w:r w:rsidRPr="005A519C">
        <w:rPr>
          <w:rFonts w:ascii="Times New Roman" w:eastAsia="Times New Roman" w:hAnsi="Times New Roman" w:cs="Times New Roman"/>
          <w:i/>
          <w:iCs/>
          <w:sz w:val="24"/>
          <w:szCs w:val="24"/>
          <w:lang w:eastAsia="es-ES"/>
        </w:rPr>
        <w:t>autonomía</w:t>
      </w:r>
      <w:r w:rsidRPr="005A519C">
        <w:rPr>
          <w:rFonts w:ascii="Times New Roman" w:eastAsia="Times New Roman" w:hAnsi="Times New Roman" w:cs="Times New Roman"/>
          <w:sz w:val="24"/>
          <w:szCs w:val="24"/>
          <w:lang w:eastAsia="es-ES"/>
        </w:rPr>
        <w:t xml:space="preserve"> del Juici</w:t>
      </w:r>
      <w:r w:rsidR="00DF3030">
        <w:rPr>
          <w:rFonts w:ascii="Times New Roman" w:eastAsia="Times New Roman" w:hAnsi="Times New Roman" w:cs="Times New Roman"/>
          <w:sz w:val="24"/>
          <w:szCs w:val="24"/>
          <w:lang w:eastAsia="es-ES"/>
        </w:rPr>
        <w:t>o, la quintaesencia de la facul</w:t>
      </w:r>
      <w:r w:rsidRPr="005A519C">
        <w:rPr>
          <w:rFonts w:ascii="Times New Roman" w:eastAsia="Times New Roman" w:hAnsi="Times New Roman" w:cs="Times New Roman"/>
          <w:sz w:val="24"/>
          <w:szCs w:val="24"/>
          <w:lang w:eastAsia="es-ES"/>
        </w:rPr>
        <w:t>tad de juzgar en su uso reflex</w:t>
      </w:r>
      <w:r w:rsidR="00DF3030">
        <w:rPr>
          <w:rFonts w:ascii="Times New Roman" w:eastAsia="Times New Roman" w:hAnsi="Times New Roman" w:cs="Times New Roman"/>
          <w:sz w:val="24"/>
          <w:szCs w:val="24"/>
          <w:lang w:eastAsia="es-ES"/>
        </w:rPr>
        <w:t>ionante y, por decirlo con Óscar</w:t>
      </w:r>
      <w:r w:rsidRPr="005A519C">
        <w:rPr>
          <w:rFonts w:ascii="Times New Roman" w:eastAsia="Times New Roman" w:hAnsi="Times New Roman" w:cs="Times New Roman"/>
          <w:sz w:val="24"/>
          <w:szCs w:val="24"/>
          <w:lang w:eastAsia="es-ES"/>
        </w:rPr>
        <w:t xml:space="preserve"> Cubo, de una </w:t>
      </w:r>
      <w:r w:rsidR="00DF3030">
        <w:rPr>
          <w:rFonts w:ascii="Times New Roman" w:eastAsia="Times New Roman" w:hAnsi="Times New Roman" w:cs="Times New Roman"/>
          <w:i/>
          <w:iCs/>
          <w:sz w:val="24"/>
          <w:szCs w:val="24"/>
          <w:lang w:eastAsia="es-ES"/>
        </w:rPr>
        <w:t>finali</w:t>
      </w:r>
      <w:r w:rsidRPr="005A519C">
        <w:rPr>
          <w:rFonts w:ascii="Times New Roman" w:eastAsia="Times New Roman" w:hAnsi="Times New Roman" w:cs="Times New Roman"/>
          <w:i/>
          <w:iCs/>
          <w:sz w:val="24"/>
          <w:szCs w:val="24"/>
          <w:lang w:eastAsia="es-ES"/>
        </w:rPr>
        <w:t>dad ateleológica</w:t>
      </w:r>
      <w:r w:rsidR="00044184">
        <w:rPr>
          <w:rFonts w:ascii="Times New Roman" w:eastAsia="Times New Roman" w:hAnsi="Times New Roman" w:cs="Times New Roman"/>
          <w:sz w:val="24"/>
          <w:szCs w:val="24"/>
          <w:lang w:eastAsia="es-ES"/>
        </w:rPr>
        <w:t xml:space="preserve"> que place</w:t>
      </w:r>
      <w:r w:rsidRPr="005A519C">
        <w:rPr>
          <w:rFonts w:ascii="Times New Roman" w:eastAsia="Times New Roman" w:hAnsi="Times New Roman" w:cs="Times New Roman"/>
          <w:sz w:val="24"/>
          <w:szCs w:val="24"/>
          <w:lang w:eastAsia="es-ES"/>
        </w:rPr>
        <w:t xml:space="preserve"> mientras nos abre las puertas de la subjetividad.</w:t>
      </w:r>
    </w:p>
    <w:p w:rsidR="00C93ACA" w:rsidRDefault="00C93ACA" w:rsidP="00C93ACA">
      <w:pPr>
        <w:spacing w:after="0" w:line="360" w:lineRule="auto"/>
        <w:ind w:firstLine="360"/>
        <w:jc w:val="both"/>
        <w:rPr>
          <w:rFonts w:ascii="Times New Roman" w:eastAsia="Times New Roman" w:hAnsi="Times New Roman" w:cs="Times New Roman"/>
          <w:sz w:val="24"/>
          <w:szCs w:val="24"/>
          <w:lang w:eastAsia="es-ES"/>
        </w:rPr>
      </w:pPr>
    </w:p>
    <w:p w:rsidR="00C93ACA" w:rsidRPr="00C93ACA" w:rsidRDefault="007C660E" w:rsidP="00C93ACA">
      <w:pPr>
        <w:spacing w:after="0"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III</w:t>
      </w:r>
      <w:r w:rsidR="00C93ACA" w:rsidRPr="00C93ACA">
        <w:rPr>
          <w:rFonts w:ascii="Times New Roman" w:eastAsia="Times New Roman" w:hAnsi="Times New Roman" w:cs="Times New Roman"/>
          <w:b/>
          <w:sz w:val="24"/>
          <w:szCs w:val="24"/>
          <w:lang w:eastAsia="es-ES"/>
        </w:rPr>
        <w:t>. Conclusiones: el mundo bajo el concepto y la estética como técnica</w:t>
      </w:r>
      <w:bookmarkStart w:id="0" w:name="_GoBack"/>
      <w:bookmarkEnd w:id="0"/>
      <w:r w:rsidR="00C93ACA" w:rsidRPr="00C93ACA">
        <w:rPr>
          <w:rFonts w:ascii="Times New Roman" w:eastAsia="Times New Roman" w:hAnsi="Times New Roman" w:cs="Times New Roman"/>
          <w:b/>
          <w:sz w:val="24"/>
          <w:szCs w:val="24"/>
          <w:lang w:eastAsia="es-ES"/>
        </w:rPr>
        <w:t>.</w:t>
      </w:r>
    </w:p>
    <w:p w:rsidR="00B35E52" w:rsidRPr="00490DB4" w:rsidRDefault="005A519C" w:rsidP="00490DB4">
      <w:pPr>
        <w:spacing w:after="0" w:line="360" w:lineRule="auto"/>
        <w:ind w:firstLine="360"/>
        <w:jc w:val="both"/>
        <w:rPr>
          <w:rFonts w:ascii="Times New Roman" w:eastAsia="Times New Roman" w:hAnsi="Times New Roman" w:cs="Times New Roman"/>
          <w:sz w:val="24"/>
          <w:szCs w:val="24"/>
          <w:lang w:eastAsia="es-ES"/>
        </w:rPr>
      </w:pPr>
      <w:r w:rsidRPr="005A519C">
        <w:rPr>
          <w:rFonts w:ascii="Times New Roman" w:eastAsia="Times New Roman" w:hAnsi="Times New Roman" w:cs="Times New Roman"/>
          <w:sz w:val="24"/>
          <w:szCs w:val="24"/>
          <w:lang w:eastAsia="es-ES"/>
        </w:rPr>
        <w:t xml:space="preserve">En definitiva, los autores estudiados argumentan </w:t>
      </w:r>
      <w:r w:rsidR="00DF3030">
        <w:rPr>
          <w:rFonts w:ascii="Times New Roman" w:eastAsia="Times New Roman" w:hAnsi="Times New Roman" w:cs="Times New Roman"/>
          <w:sz w:val="24"/>
          <w:szCs w:val="24"/>
          <w:lang w:eastAsia="es-ES"/>
        </w:rPr>
        <w:t>convincentemente</w:t>
      </w:r>
      <w:r w:rsidRPr="005A519C">
        <w:rPr>
          <w:rFonts w:ascii="Times New Roman" w:eastAsia="Times New Roman" w:hAnsi="Times New Roman" w:cs="Times New Roman"/>
          <w:sz w:val="24"/>
          <w:szCs w:val="24"/>
          <w:lang w:eastAsia="es-ES"/>
        </w:rPr>
        <w:t xml:space="preserve"> la tesis de que la </w:t>
      </w:r>
      <w:r w:rsidRPr="005A519C">
        <w:rPr>
          <w:rFonts w:ascii="Times New Roman" w:eastAsia="Times New Roman" w:hAnsi="Times New Roman" w:cs="Times New Roman"/>
          <w:i/>
          <w:iCs/>
          <w:sz w:val="24"/>
          <w:szCs w:val="24"/>
          <w:lang w:eastAsia="es-ES"/>
        </w:rPr>
        <w:t>KU</w:t>
      </w:r>
      <w:r w:rsidRPr="005A519C">
        <w:rPr>
          <w:rFonts w:ascii="Times New Roman" w:eastAsia="Times New Roman" w:hAnsi="Times New Roman" w:cs="Times New Roman"/>
          <w:sz w:val="24"/>
          <w:szCs w:val="24"/>
          <w:lang w:eastAsia="es-ES"/>
        </w:rPr>
        <w:t xml:space="preserve"> no es sino una exposición crítica de los principios </w:t>
      </w:r>
      <w:r w:rsidR="00DF3030">
        <w:rPr>
          <w:rFonts w:ascii="Times New Roman" w:eastAsia="Times New Roman" w:hAnsi="Times New Roman" w:cs="Times New Roman"/>
          <w:i/>
          <w:iCs/>
          <w:spacing w:val="-2"/>
          <w:sz w:val="24"/>
          <w:szCs w:val="24"/>
          <w:lang w:eastAsia="es-ES"/>
        </w:rPr>
        <w:t>a pri</w:t>
      </w:r>
      <w:r w:rsidRPr="005A519C">
        <w:rPr>
          <w:rFonts w:ascii="Times New Roman" w:eastAsia="Times New Roman" w:hAnsi="Times New Roman" w:cs="Times New Roman"/>
          <w:i/>
          <w:iCs/>
          <w:spacing w:val="-2"/>
          <w:sz w:val="24"/>
          <w:szCs w:val="24"/>
          <w:lang w:eastAsia="es-ES"/>
        </w:rPr>
        <w:t>ori</w:t>
      </w:r>
      <w:r w:rsidRPr="005A519C">
        <w:rPr>
          <w:rFonts w:ascii="Times New Roman" w:eastAsia="Times New Roman" w:hAnsi="Times New Roman" w:cs="Times New Roman"/>
          <w:sz w:val="24"/>
          <w:szCs w:val="24"/>
          <w:lang w:eastAsia="es-ES"/>
        </w:rPr>
        <w:t xml:space="preserve"> de la facultad de juzgar, los cuales resultan </w:t>
      </w:r>
      <w:r w:rsidRPr="005A519C">
        <w:rPr>
          <w:rFonts w:ascii="Times New Roman" w:eastAsia="Times New Roman" w:hAnsi="Times New Roman" w:cs="Times New Roman"/>
          <w:i/>
          <w:iCs/>
          <w:sz w:val="24"/>
          <w:szCs w:val="24"/>
          <w:lang w:eastAsia="es-ES"/>
        </w:rPr>
        <w:t>autónomos</w:t>
      </w:r>
      <w:r w:rsidR="00DF3030">
        <w:rPr>
          <w:rFonts w:ascii="Times New Roman" w:eastAsia="Times New Roman" w:hAnsi="Times New Roman" w:cs="Times New Roman"/>
          <w:sz w:val="24"/>
          <w:szCs w:val="24"/>
          <w:lang w:eastAsia="es-ES"/>
        </w:rPr>
        <w:t xml:space="preserve"> frente a la razón y al entendi</w:t>
      </w:r>
      <w:r w:rsidRPr="005A519C">
        <w:rPr>
          <w:rFonts w:ascii="Times New Roman" w:eastAsia="Times New Roman" w:hAnsi="Times New Roman" w:cs="Times New Roman"/>
          <w:sz w:val="24"/>
          <w:szCs w:val="24"/>
          <w:lang w:eastAsia="es-ES"/>
        </w:rPr>
        <w:t xml:space="preserve">miento y actúan </w:t>
      </w:r>
      <w:r w:rsidRPr="005A519C">
        <w:rPr>
          <w:rFonts w:ascii="Times New Roman" w:eastAsia="Times New Roman" w:hAnsi="Times New Roman" w:cs="Times New Roman"/>
          <w:i/>
          <w:iCs/>
          <w:sz w:val="24"/>
          <w:szCs w:val="24"/>
          <w:lang w:eastAsia="es-ES"/>
        </w:rPr>
        <w:t>espontáneamente</w:t>
      </w:r>
      <w:r w:rsidRPr="005A519C">
        <w:rPr>
          <w:rFonts w:ascii="Times New Roman" w:eastAsia="Times New Roman" w:hAnsi="Times New Roman" w:cs="Times New Roman"/>
          <w:sz w:val="24"/>
          <w:szCs w:val="24"/>
          <w:lang w:eastAsia="es-ES"/>
        </w:rPr>
        <w:t xml:space="preserve"> por medio de los juicios teleológicos y estéticos. Esto es, la estética no se constituye únicamente como “crítica del gusto”, sino que, y debido a la mediación del </w:t>
      </w:r>
      <w:r w:rsidRPr="005A519C">
        <w:rPr>
          <w:rFonts w:ascii="Times New Roman" w:eastAsia="Times New Roman" w:hAnsi="Times New Roman" w:cs="Times New Roman"/>
          <w:sz w:val="24"/>
          <w:szCs w:val="24"/>
          <w:lang w:eastAsia="es-ES"/>
        </w:rPr>
        <w:lastRenderedPageBreak/>
        <w:t xml:space="preserve">universal </w:t>
      </w:r>
      <w:r w:rsidRPr="005A519C">
        <w:rPr>
          <w:rFonts w:ascii="Times New Roman" w:eastAsia="Times New Roman" w:hAnsi="Times New Roman" w:cs="Times New Roman"/>
          <w:i/>
          <w:iCs/>
          <w:sz w:val="24"/>
          <w:szCs w:val="24"/>
          <w:lang w:eastAsia="es-ES"/>
        </w:rPr>
        <w:t>sensus communis</w:t>
      </w:r>
      <w:r w:rsidRPr="005A519C">
        <w:rPr>
          <w:rFonts w:ascii="Times New Roman" w:eastAsia="Times New Roman" w:hAnsi="Times New Roman" w:cs="Times New Roman"/>
          <w:sz w:val="24"/>
          <w:szCs w:val="24"/>
          <w:lang w:eastAsia="es-ES"/>
        </w:rPr>
        <w:t xml:space="preserve"> en la emisión de los mismos, posibilita una noción de intersubjetividad construida en torno a ella. Ahora bien, que la estética, en ese sentido amplio, fije las condiciones de posibi</w:t>
      </w:r>
      <w:r w:rsidR="00DF3030">
        <w:rPr>
          <w:rFonts w:ascii="Times New Roman" w:eastAsia="Times New Roman" w:hAnsi="Times New Roman" w:cs="Times New Roman"/>
          <w:sz w:val="24"/>
          <w:szCs w:val="24"/>
          <w:lang w:eastAsia="es-ES"/>
        </w:rPr>
        <w:t>lidad del pensar conceptual</w:t>
      </w:r>
      <w:r w:rsidRPr="005A519C">
        <w:rPr>
          <w:rFonts w:ascii="Times New Roman" w:eastAsia="Times New Roman" w:hAnsi="Times New Roman" w:cs="Times New Roman"/>
          <w:sz w:val="24"/>
          <w:szCs w:val="24"/>
          <w:lang w:eastAsia="es-ES"/>
        </w:rPr>
        <w:t xml:space="preserve">, supone a la vez que el arte no debe entenderse exclusivamente como </w:t>
      </w:r>
      <w:r w:rsidRPr="005A519C">
        <w:rPr>
          <w:rFonts w:ascii="Times New Roman" w:eastAsia="Times New Roman" w:hAnsi="Times New Roman" w:cs="Times New Roman"/>
          <w:spacing w:val="-2"/>
          <w:sz w:val="24"/>
          <w:szCs w:val="24"/>
          <w:lang w:eastAsia="es-ES"/>
        </w:rPr>
        <w:t>una guía de interpretación de nuestra</w:t>
      </w:r>
      <w:r w:rsidRPr="005A519C">
        <w:rPr>
          <w:rFonts w:ascii="Times New Roman" w:eastAsia="Times New Roman" w:hAnsi="Times New Roman" w:cs="Times New Roman"/>
          <w:sz w:val="24"/>
          <w:szCs w:val="24"/>
          <w:lang w:eastAsia="es-ES"/>
        </w:rPr>
        <w:t xml:space="preserve"> propia subjetividad, porque, al margen de ello, cumple una función muy especial en la dominación del mundo natural. Quiere esto decir que, en la medida en que permite la aplicación favorable de los conceptos puros del entendimiento, </w:t>
      </w:r>
      <w:r w:rsidRPr="005A519C">
        <w:rPr>
          <w:rFonts w:ascii="Times New Roman" w:eastAsia="Times New Roman" w:hAnsi="Times New Roman" w:cs="Times New Roman"/>
          <w:spacing w:val="-2"/>
          <w:sz w:val="24"/>
          <w:szCs w:val="24"/>
          <w:lang w:eastAsia="es-ES"/>
        </w:rPr>
        <w:t>la tercera</w:t>
      </w:r>
      <w:r w:rsidRPr="005A519C">
        <w:rPr>
          <w:rFonts w:ascii="Times New Roman" w:eastAsia="Times New Roman" w:hAnsi="Times New Roman" w:cs="Times New Roman"/>
          <w:sz w:val="24"/>
          <w:szCs w:val="24"/>
          <w:lang w:eastAsia="es-ES"/>
        </w:rPr>
        <w:t xml:space="preserve"> </w:t>
      </w:r>
      <w:r w:rsidRPr="005A519C">
        <w:rPr>
          <w:rFonts w:ascii="Times New Roman" w:eastAsia="Times New Roman" w:hAnsi="Times New Roman" w:cs="Times New Roman"/>
          <w:i/>
          <w:iCs/>
          <w:spacing w:val="-2"/>
          <w:sz w:val="24"/>
          <w:szCs w:val="24"/>
          <w:lang w:eastAsia="es-ES"/>
        </w:rPr>
        <w:t>Crítica</w:t>
      </w:r>
      <w:r w:rsidRPr="005A519C">
        <w:rPr>
          <w:rFonts w:ascii="Times New Roman" w:eastAsia="Times New Roman" w:hAnsi="Times New Roman" w:cs="Times New Roman"/>
          <w:sz w:val="24"/>
          <w:szCs w:val="24"/>
          <w:lang w:eastAsia="es-ES"/>
        </w:rPr>
        <w:t xml:space="preserve">, cuya mejor introducción es sin duda la lectura atenta a las obras </w:t>
      </w:r>
      <w:r w:rsidR="00DF3030">
        <w:rPr>
          <w:rFonts w:ascii="Times New Roman" w:eastAsia="Times New Roman" w:hAnsi="Times New Roman" w:cs="Times New Roman"/>
          <w:sz w:val="24"/>
          <w:szCs w:val="24"/>
          <w:lang w:eastAsia="es-ES"/>
        </w:rPr>
        <w:t>de Marco Sgarbi, Nuria Sánchez y Óscar</w:t>
      </w:r>
      <w:r w:rsidRPr="005A519C">
        <w:rPr>
          <w:rFonts w:ascii="Times New Roman" w:eastAsia="Times New Roman" w:hAnsi="Times New Roman" w:cs="Times New Roman"/>
          <w:sz w:val="24"/>
          <w:szCs w:val="24"/>
          <w:lang w:eastAsia="es-ES"/>
        </w:rPr>
        <w:t xml:space="preserve"> Cubo, puede englobarse dentro de esa lógica del desarrollo occidental, denominada por Adorno y Horkheimer “dialéctica</w:t>
      </w:r>
      <w:r w:rsidR="00DF3030">
        <w:rPr>
          <w:rFonts w:ascii="Times New Roman" w:eastAsia="Times New Roman" w:hAnsi="Times New Roman" w:cs="Times New Roman"/>
          <w:sz w:val="24"/>
          <w:szCs w:val="24"/>
          <w:lang w:eastAsia="es-ES"/>
        </w:rPr>
        <w:t xml:space="preserve"> de la Ilustración”. E</w:t>
      </w:r>
      <w:r w:rsidRPr="005A519C">
        <w:rPr>
          <w:rFonts w:ascii="Times New Roman" w:eastAsia="Times New Roman" w:hAnsi="Times New Roman" w:cs="Times New Roman"/>
          <w:sz w:val="24"/>
          <w:szCs w:val="24"/>
          <w:lang w:eastAsia="es-ES"/>
        </w:rPr>
        <w:t xml:space="preserve">l sometimiento de la naturaleza por medio del concepto, en tanto depende de la autonomía </w:t>
      </w:r>
      <w:r w:rsidRPr="005A519C">
        <w:rPr>
          <w:rFonts w:ascii="Times New Roman" w:eastAsia="Times New Roman" w:hAnsi="Times New Roman" w:cs="Times New Roman"/>
          <w:spacing w:val="-2"/>
          <w:sz w:val="24"/>
          <w:szCs w:val="24"/>
          <w:lang w:eastAsia="es-ES"/>
        </w:rPr>
        <w:t>del Juicio, se inicia ya</w:t>
      </w:r>
      <w:r w:rsidRPr="005A519C">
        <w:rPr>
          <w:rFonts w:ascii="Times New Roman" w:eastAsia="Times New Roman" w:hAnsi="Times New Roman" w:cs="Times New Roman"/>
          <w:sz w:val="24"/>
          <w:szCs w:val="24"/>
          <w:lang w:eastAsia="es-ES"/>
        </w:rPr>
        <w:t xml:space="preserve"> en el asombro y el deleite del hombre frente a la form</w:t>
      </w:r>
      <w:r w:rsidR="00985E29">
        <w:rPr>
          <w:rFonts w:ascii="Times New Roman" w:eastAsia="Times New Roman" w:hAnsi="Times New Roman" w:cs="Times New Roman"/>
          <w:sz w:val="24"/>
          <w:szCs w:val="24"/>
          <w:lang w:eastAsia="es-ES"/>
        </w:rPr>
        <w:t>a de los objetos. De hecho, qui</w:t>
      </w:r>
      <w:r w:rsidRPr="005A519C">
        <w:rPr>
          <w:rFonts w:ascii="Times New Roman" w:eastAsia="Times New Roman" w:hAnsi="Times New Roman" w:cs="Times New Roman"/>
          <w:sz w:val="24"/>
          <w:szCs w:val="24"/>
          <w:lang w:eastAsia="es-ES"/>
        </w:rPr>
        <w:t>zás el desencantamiento del mundo no sea sino el olvido del niño que fuimos, la pérdida de nuestra capacidad para maravillarnos frente a lo bello, frente a lo sublime. Quizás, en un mundo inanimado monopolizado por la razón instrumental, ningún niño se sorprenda nunca al descubrir que las manzanas son verdes, no doradas</w:t>
      </w:r>
      <w:r w:rsidRPr="005A519C">
        <w:rPr>
          <w:rFonts w:ascii="Times New Roman" w:eastAsia="Times New Roman" w:hAnsi="Times New Roman" w:cs="Times New Roman"/>
          <w:sz w:val="24"/>
          <w:szCs w:val="24"/>
          <w:vertAlign w:val="superscript"/>
          <w:lang w:eastAsia="es-ES"/>
        </w:rPr>
        <w:footnoteReference w:id="27"/>
      </w:r>
      <w:r w:rsidRPr="005A519C">
        <w:rPr>
          <w:rFonts w:ascii="Times New Roman" w:eastAsia="Times New Roman" w:hAnsi="Times New Roman" w:cs="Times New Roman"/>
          <w:sz w:val="24"/>
          <w:szCs w:val="24"/>
          <w:lang w:eastAsia="es-ES"/>
        </w:rPr>
        <w:t>.</w:t>
      </w:r>
    </w:p>
    <w:sectPr w:rsidR="00B35E52" w:rsidRPr="00490DB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84" w:rsidRDefault="00465284" w:rsidP="005A519C">
      <w:pPr>
        <w:spacing w:after="0" w:line="240" w:lineRule="auto"/>
      </w:pPr>
      <w:r>
        <w:separator/>
      </w:r>
    </w:p>
  </w:endnote>
  <w:endnote w:type="continuationSeparator" w:id="0">
    <w:p w:rsidR="00465284" w:rsidRDefault="00465284" w:rsidP="005A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92173"/>
      <w:docPartObj>
        <w:docPartGallery w:val="Page Numbers (Bottom of Page)"/>
        <w:docPartUnique/>
      </w:docPartObj>
    </w:sdtPr>
    <w:sdtEndPr>
      <w:rPr>
        <w:rFonts w:ascii="Times New Roman" w:hAnsi="Times New Roman" w:cs="Times New Roman"/>
      </w:rPr>
    </w:sdtEndPr>
    <w:sdtContent>
      <w:p w:rsidR="005A519C" w:rsidRPr="005A519C" w:rsidRDefault="005A519C">
        <w:pPr>
          <w:pStyle w:val="Piedepgina"/>
          <w:jc w:val="center"/>
          <w:rPr>
            <w:rFonts w:ascii="Times New Roman" w:hAnsi="Times New Roman" w:cs="Times New Roman"/>
          </w:rPr>
        </w:pPr>
        <w:r w:rsidRPr="005A519C">
          <w:rPr>
            <w:rFonts w:ascii="Times New Roman" w:hAnsi="Times New Roman" w:cs="Times New Roman"/>
          </w:rPr>
          <w:fldChar w:fldCharType="begin"/>
        </w:r>
        <w:r w:rsidRPr="005A519C">
          <w:rPr>
            <w:rFonts w:ascii="Times New Roman" w:hAnsi="Times New Roman" w:cs="Times New Roman"/>
          </w:rPr>
          <w:instrText>PAGE   \* MERGEFORMAT</w:instrText>
        </w:r>
        <w:r w:rsidRPr="005A519C">
          <w:rPr>
            <w:rFonts w:ascii="Times New Roman" w:hAnsi="Times New Roman" w:cs="Times New Roman"/>
          </w:rPr>
          <w:fldChar w:fldCharType="separate"/>
        </w:r>
        <w:r w:rsidR="007C660E">
          <w:rPr>
            <w:rFonts w:ascii="Times New Roman" w:hAnsi="Times New Roman" w:cs="Times New Roman"/>
            <w:noProof/>
          </w:rPr>
          <w:t>11</w:t>
        </w:r>
        <w:r w:rsidRPr="005A519C">
          <w:rPr>
            <w:rFonts w:ascii="Times New Roman" w:hAnsi="Times New Roman" w:cs="Times New Roman"/>
          </w:rPr>
          <w:fldChar w:fldCharType="end"/>
        </w:r>
      </w:p>
    </w:sdtContent>
  </w:sdt>
  <w:p w:rsidR="005A519C" w:rsidRDefault="005A5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84" w:rsidRDefault="00465284" w:rsidP="005A519C">
      <w:pPr>
        <w:spacing w:after="0" w:line="240" w:lineRule="auto"/>
      </w:pPr>
      <w:r>
        <w:separator/>
      </w:r>
    </w:p>
  </w:footnote>
  <w:footnote w:type="continuationSeparator" w:id="0">
    <w:p w:rsidR="00465284" w:rsidRDefault="00465284" w:rsidP="005A519C">
      <w:pPr>
        <w:spacing w:after="0" w:line="240" w:lineRule="auto"/>
      </w:pPr>
      <w:r>
        <w:continuationSeparator/>
      </w:r>
    </w:p>
  </w:footnote>
  <w:footnote w:id="1">
    <w:p w:rsidR="005A519C" w:rsidRDefault="005A519C" w:rsidP="00A073DD">
      <w:pPr>
        <w:pStyle w:val="Textonotapie"/>
        <w:jc w:val="both"/>
      </w:pPr>
      <w:r>
        <w:rPr>
          <w:rStyle w:val="Refdenotaalpie"/>
        </w:rPr>
        <w:footnoteRef/>
      </w:r>
      <w:r w:rsidRPr="002A71AE">
        <w:t xml:space="preserve"> </w:t>
      </w:r>
      <w:r w:rsidRPr="002A71AE">
        <w:rPr>
          <w:i/>
          <w:iCs/>
        </w:rPr>
        <w:t>Cf</w:t>
      </w:r>
      <w:r w:rsidR="00A95A09" w:rsidRPr="002A71AE">
        <w:t>. Kant, I.,</w:t>
      </w:r>
      <w:r w:rsidRPr="002A71AE">
        <w:t xml:space="preserve"> </w:t>
      </w:r>
      <w:r>
        <w:rPr>
          <w:i/>
          <w:iCs/>
        </w:rPr>
        <w:t>Crítica del discernimiento</w:t>
      </w:r>
      <w:r w:rsidR="00A95A09">
        <w:t>,</w:t>
      </w:r>
      <w:r w:rsidR="00AC59F5">
        <w:t xml:space="preserve"> trad. Roberto R. Aramayo y Salvador Mas,</w:t>
      </w:r>
      <w:r w:rsidR="00A95A09">
        <w:t xml:space="preserve"> Madrid,</w:t>
      </w:r>
      <w:r>
        <w:t xml:space="preserve"> Machado Libros</w:t>
      </w:r>
      <w:r w:rsidR="00A95A09">
        <w:t>, 2003</w:t>
      </w:r>
      <w:r w:rsidR="00AC59F5">
        <w:t xml:space="preserve">. </w:t>
      </w:r>
      <w:r w:rsidR="00A95A09">
        <w:t xml:space="preserve">Otras ediciones en castellano de esta obra </w:t>
      </w:r>
      <w:r w:rsidR="00AC59F5">
        <w:t xml:space="preserve">son: Kant, I., </w:t>
      </w:r>
      <w:r w:rsidR="00AC59F5" w:rsidRPr="00AC59F5">
        <w:rPr>
          <w:i/>
        </w:rPr>
        <w:t>Crítica del Juicio</w:t>
      </w:r>
      <w:r w:rsidR="00AC59F5">
        <w:t xml:space="preserve">, trad. Manuel García Morente, Madrid, Espasa-Calpe, 1990; Kant, I., </w:t>
      </w:r>
      <w:r w:rsidR="00AC59F5" w:rsidRPr="00AC59F5">
        <w:rPr>
          <w:i/>
        </w:rPr>
        <w:t>Crítica del Juicio</w:t>
      </w:r>
      <w:r w:rsidR="00AC59F5">
        <w:t xml:space="preserve">, trad. Manuel García Morente, Madrid, Tecnos, 2007. </w:t>
      </w:r>
      <w:r>
        <w:t xml:space="preserve">El término alemán </w:t>
      </w:r>
      <w:r>
        <w:rPr>
          <w:i/>
          <w:iCs/>
        </w:rPr>
        <w:t>Urteilskraft</w:t>
      </w:r>
      <w:r>
        <w:t xml:space="preserve"> ha sido traducido al castellano como </w:t>
      </w:r>
      <w:r>
        <w:rPr>
          <w:i/>
          <w:iCs/>
        </w:rPr>
        <w:t>Juicio</w:t>
      </w:r>
      <w:r>
        <w:t xml:space="preserve">, </w:t>
      </w:r>
      <w:r>
        <w:rPr>
          <w:i/>
          <w:iCs/>
        </w:rPr>
        <w:t>facultad de juzgar</w:t>
      </w:r>
      <w:r>
        <w:t xml:space="preserve"> y, </w:t>
      </w:r>
      <w:r w:rsidR="00AC59F5">
        <w:t>en la traducción de Aramayo y Mas</w:t>
      </w:r>
      <w:r>
        <w:t xml:space="preserve">, como </w:t>
      </w:r>
      <w:r>
        <w:rPr>
          <w:i/>
          <w:iCs/>
        </w:rPr>
        <w:t>discernimiento</w:t>
      </w:r>
      <w:r>
        <w:t xml:space="preserve">. </w:t>
      </w:r>
      <w:r w:rsidR="00AC59F5">
        <w:t>(</w:t>
      </w:r>
      <w:r>
        <w:t xml:space="preserve">En adelante, para evitar repeticiones, utilizaremos la abreviatura alemana, </w:t>
      </w:r>
      <w:r>
        <w:rPr>
          <w:i/>
          <w:iCs/>
        </w:rPr>
        <w:t>KU</w:t>
      </w:r>
      <w:r w:rsidR="00AC59F5">
        <w:t xml:space="preserve"> –</w:t>
      </w:r>
      <w:r>
        <w:rPr>
          <w:i/>
          <w:iCs/>
        </w:rPr>
        <w:t>Kritik der Urteilskraft</w:t>
      </w:r>
      <w:r w:rsidR="00AC59F5">
        <w:t xml:space="preserve">- para referirnos a la tercera </w:t>
      </w:r>
      <w:r w:rsidR="00AC59F5" w:rsidRPr="00AC59F5">
        <w:rPr>
          <w:i/>
        </w:rPr>
        <w:t>Crítica</w:t>
      </w:r>
      <w:r w:rsidR="00AC59F5">
        <w:t>).</w:t>
      </w:r>
    </w:p>
  </w:footnote>
  <w:footnote w:id="2">
    <w:p w:rsidR="005A519C" w:rsidRDefault="005A519C" w:rsidP="00A073DD">
      <w:pPr>
        <w:pStyle w:val="Textonotapie"/>
        <w:jc w:val="both"/>
      </w:pPr>
      <w:r>
        <w:rPr>
          <w:rStyle w:val="Refdenotaalpie"/>
        </w:rPr>
        <w:footnoteRef/>
      </w:r>
      <w:r w:rsidRPr="002A71AE">
        <w:rPr>
          <w:lang w:val="en-GB"/>
        </w:rPr>
        <w:t xml:space="preserve"> </w:t>
      </w:r>
      <w:r w:rsidRPr="002A71AE">
        <w:rPr>
          <w:i/>
          <w:iCs/>
          <w:lang w:val="en-GB"/>
        </w:rPr>
        <w:t>Cf</w:t>
      </w:r>
      <w:r w:rsidR="00AC59F5" w:rsidRPr="002A71AE">
        <w:rPr>
          <w:lang w:val="en-GB"/>
        </w:rPr>
        <w:t>. Sgarbi, M,</w:t>
      </w:r>
      <w:r w:rsidRPr="002A71AE">
        <w:rPr>
          <w:lang w:val="en-GB"/>
        </w:rPr>
        <w:t xml:space="preserve"> </w:t>
      </w:r>
      <w:r w:rsidRPr="002A71AE">
        <w:rPr>
          <w:i/>
          <w:iCs/>
          <w:lang w:val="en-GB"/>
        </w:rPr>
        <w:t xml:space="preserve">Immanuel Kant. </w:t>
      </w:r>
      <w:r>
        <w:rPr>
          <w:i/>
          <w:iCs/>
        </w:rPr>
        <w:t>Crítica del Juicio</w:t>
      </w:r>
      <w:r w:rsidR="00AC59F5">
        <w:t>, Madrid, Maia Ediciones, 2011.</w:t>
      </w:r>
    </w:p>
  </w:footnote>
  <w:footnote w:id="3">
    <w:p w:rsidR="005A519C" w:rsidRDefault="005A519C" w:rsidP="00A073DD">
      <w:pPr>
        <w:pStyle w:val="Textonotapie"/>
        <w:jc w:val="both"/>
      </w:pPr>
      <w:r>
        <w:rPr>
          <w:rStyle w:val="Refdenotaalpie"/>
        </w:rPr>
        <w:footnoteRef/>
      </w:r>
      <w:r>
        <w:t xml:space="preserve"> </w:t>
      </w:r>
      <w:r>
        <w:rPr>
          <w:i/>
          <w:iCs/>
        </w:rPr>
        <w:t>Ibíd.,</w:t>
      </w:r>
      <w:r w:rsidR="00A073DD">
        <w:t xml:space="preserve"> p. 11.</w:t>
      </w:r>
    </w:p>
  </w:footnote>
  <w:footnote w:id="4">
    <w:p w:rsidR="00A95A09" w:rsidRDefault="00A95A09" w:rsidP="00A073DD">
      <w:pPr>
        <w:pStyle w:val="Textonotapie"/>
        <w:jc w:val="both"/>
      </w:pPr>
      <w:r>
        <w:rPr>
          <w:rStyle w:val="Refdenotaalpie"/>
        </w:rPr>
        <w:footnoteRef/>
      </w:r>
      <w:r>
        <w:t xml:space="preserve"> </w:t>
      </w:r>
      <w:r w:rsidR="00A073DD">
        <w:t xml:space="preserve">Una reconstrucción similar se encuentra en: Sánchez, M., </w:t>
      </w:r>
      <w:r w:rsidR="00A073DD" w:rsidRPr="00A073DD">
        <w:rPr>
          <w:i/>
        </w:rPr>
        <w:t>Sentimiento y reflexión en la filosofía de Kant. Estudio histórico sobre el problema estético</w:t>
      </w:r>
      <w:r w:rsidR="00A073DD">
        <w:t>, Hildesheim, Georg Olms, 2010. Este volumen fue publicado posteriormente a la versión original del libro de Marco Sgarbi.</w:t>
      </w:r>
    </w:p>
  </w:footnote>
  <w:footnote w:id="5">
    <w:p w:rsidR="005A519C" w:rsidRPr="00A073DD" w:rsidRDefault="005A519C" w:rsidP="00A073DD">
      <w:pPr>
        <w:pStyle w:val="Textonotapie"/>
        <w:jc w:val="both"/>
        <w:rPr>
          <w:iCs/>
          <w:spacing w:val="-2"/>
        </w:rPr>
      </w:pPr>
      <w:r>
        <w:rPr>
          <w:rStyle w:val="Refdenotaalpie"/>
        </w:rPr>
        <w:footnoteRef/>
      </w:r>
      <w:r>
        <w:t xml:space="preserve"> </w:t>
      </w:r>
      <w:r w:rsidR="00A073DD">
        <w:t xml:space="preserve">Edición </w:t>
      </w:r>
      <w:r w:rsidR="00A073DD">
        <w:rPr>
          <w:spacing w:val="-2"/>
        </w:rPr>
        <w:t>o</w:t>
      </w:r>
      <w:r>
        <w:rPr>
          <w:spacing w:val="-2"/>
        </w:rPr>
        <w:t>riginal:</w:t>
      </w:r>
      <w:r w:rsidR="00A073DD">
        <w:rPr>
          <w:spacing w:val="-2"/>
        </w:rPr>
        <w:t xml:space="preserve"> Sgarbi, M.,</w:t>
      </w:r>
      <w:r>
        <w:rPr>
          <w:spacing w:val="-2"/>
        </w:rPr>
        <w:t xml:space="preserve"> </w:t>
      </w:r>
      <w:r>
        <w:rPr>
          <w:i/>
          <w:iCs/>
          <w:spacing w:val="-2"/>
        </w:rPr>
        <w:t>La logica dell’irrazionale. Studio sul significato e sui problem</w:t>
      </w:r>
      <w:r w:rsidR="00A073DD">
        <w:rPr>
          <w:i/>
          <w:iCs/>
          <w:spacing w:val="-2"/>
        </w:rPr>
        <w:t xml:space="preserve">i della Kritik der Urteilskraft, </w:t>
      </w:r>
      <w:r w:rsidR="00A073DD">
        <w:rPr>
          <w:iCs/>
          <w:spacing w:val="-2"/>
        </w:rPr>
        <w:t>Milano, Mímesis Edizioni, 2010.</w:t>
      </w:r>
    </w:p>
  </w:footnote>
  <w:footnote w:id="6">
    <w:p w:rsidR="001256E5" w:rsidRDefault="001256E5" w:rsidP="001256E5">
      <w:pPr>
        <w:pStyle w:val="Textonotapie"/>
      </w:pPr>
      <w:r>
        <w:rPr>
          <w:rStyle w:val="Refdenotaalpie"/>
        </w:rPr>
        <w:footnoteRef/>
      </w:r>
      <w:r>
        <w:t xml:space="preserve"> En la actualidad, ello enfrenta la filosofía crítica a planteamientos como el de Davidson o McDowell.</w:t>
      </w:r>
    </w:p>
  </w:footnote>
  <w:footnote w:id="7">
    <w:p w:rsidR="005A519C" w:rsidRDefault="005A519C" w:rsidP="00577FAC">
      <w:pPr>
        <w:pStyle w:val="Textonotapie"/>
        <w:jc w:val="both"/>
      </w:pPr>
      <w:r>
        <w:rPr>
          <w:rStyle w:val="Refdenotaalpie"/>
        </w:rPr>
        <w:footnoteRef/>
      </w:r>
      <w:r w:rsidR="003A3A0C">
        <w:t xml:space="preserve"> Sánchez, N., &lt;&lt;</w:t>
      </w:r>
      <w:r>
        <w:t>Contingencia y trasc</w:t>
      </w:r>
      <w:r w:rsidR="003A3A0C">
        <w:t>endentalidad&gt;&gt;</w:t>
      </w:r>
      <w:r w:rsidR="00F13F34">
        <w:t xml:space="preserve"> en</w:t>
      </w:r>
      <w:r w:rsidR="003A3A0C">
        <w:t>:</w:t>
      </w:r>
      <w:r w:rsidR="00F13F34">
        <w:t xml:space="preserve"> Kant, I</w:t>
      </w:r>
      <w:r>
        <w:t>.</w:t>
      </w:r>
      <w:r w:rsidR="00F13F34">
        <w:t>,</w:t>
      </w:r>
      <w:r>
        <w:t xml:space="preserve"> </w:t>
      </w:r>
      <w:r>
        <w:rPr>
          <w:i/>
          <w:iCs/>
        </w:rPr>
        <w:t>Primera Introducción a la Crítica del Juicio</w:t>
      </w:r>
      <w:r>
        <w:t xml:space="preserve">, </w:t>
      </w:r>
      <w:r w:rsidR="00F13F34">
        <w:t>trad. Nuria S</w:t>
      </w:r>
      <w:r w:rsidR="003A3A0C">
        <w:t>ánchez</w:t>
      </w:r>
      <w:r w:rsidR="00F13F34">
        <w:t>, Madrid,</w:t>
      </w:r>
      <w:r>
        <w:t xml:space="preserve"> Escolar y Mayo editores,</w:t>
      </w:r>
      <w:r w:rsidR="00F13F34">
        <w:t xml:space="preserve"> 2011, p. 56.</w:t>
      </w:r>
    </w:p>
  </w:footnote>
  <w:footnote w:id="8">
    <w:p w:rsidR="005A519C" w:rsidRDefault="005A519C" w:rsidP="00577FAC">
      <w:pPr>
        <w:pStyle w:val="Textonotapie"/>
        <w:jc w:val="both"/>
      </w:pPr>
      <w:r>
        <w:rPr>
          <w:rStyle w:val="Refdenotaalpie"/>
        </w:rPr>
        <w:footnoteRef/>
      </w:r>
      <w:r>
        <w:t xml:space="preserve"> “La </w:t>
      </w:r>
      <w:r>
        <w:rPr>
          <w:i/>
          <w:iCs/>
        </w:rPr>
        <w:t>Primera Introducción</w:t>
      </w:r>
      <w:r>
        <w:t xml:space="preserve"> se convertirá en uno de esos textos que empiezan siendo incómodos para el autor, quien abatido al no poder hacerse definitivamente con su obra fracasada, finalmente resuelve descartarla, sin por ello lograr dejar de sentir hacia ella un sentimiento ambivalente, oscilante entre la voluntad de no entregarla a las prensas y la atracción que ejerce una fuente inagotable de aprendizaje y asombro [...] Se tiene la impresión de que el pensamiento no está al servicio de ningún propósito fijado de antemano, sino que, por así decir, luce una libertad insólita, al amparo de un indomeñable e impersonal </w:t>
      </w:r>
      <w:r>
        <w:rPr>
          <w:i/>
          <w:iCs/>
        </w:rPr>
        <w:t>genius</w:t>
      </w:r>
      <w:r>
        <w:t xml:space="preserve"> filosófico” (</w:t>
      </w:r>
      <w:r>
        <w:rPr>
          <w:i/>
          <w:iCs/>
        </w:rPr>
        <w:t>Ibíd.</w:t>
      </w:r>
      <w:r w:rsidR="003A3A0C">
        <w:t>, p .</w:t>
      </w:r>
      <w:r>
        <w:t>15).</w:t>
      </w:r>
    </w:p>
  </w:footnote>
  <w:footnote w:id="9">
    <w:p w:rsidR="005A519C" w:rsidRDefault="005A519C" w:rsidP="00577FAC">
      <w:pPr>
        <w:pStyle w:val="Textonotapie"/>
        <w:jc w:val="both"/>
        <w:rPr>
          <w:lang w:val="en-GB"/>
        </w:rPr>
      </w:pPr>
      <w:r>
        <w:rPr>
          <w:rStyle w:val="Refdenotaalpie"/>
        </w:rPr>
        <w:footnoteRef/>
      </w:r>
      <w:r>
        <w:rPr>
          <w:lang w:val="en-GB"/>
        </w:rPr>
        <w:t xml:space="preserve"> </w:t>
      </w:r>
      <w:r w:rsidRPr="003A3A0C">
        <w:rPr>
          <w:i/>
          <w:lang w:val="en-GB"/>
        </w:rPr>
        <w:t>Cf</w:t>
      </w:r>
      <w:r>
        <w:rPr>
          <w:lang w:val="en-GB"/>
        </w:rPr>
        <w:t xml:space="preserve">. </w:t>
      </w:r>
      <w:r>
        <w:rPr>
          <w:i/>
          <w:iCs/>
          <w:lang w:val="en-GB"/>
        </w:rPr>
        <w:t>Íbid.,</w:t>
      </w:r>
      <w:r w:rsidR="003A3A0C">
        <w:rPr>
          <w:lang w:val="en-GB"/>
        </w:rPr>
        <w:t xml:space="preserve"> p. </w:t>
      </w:r>
      <w:r>
        <w:rPr>
          <w:lang w:val="en-GB"/>
        </w:rPr>
        <w:t>35.</w:t>
      </w:r>
    </w:p>
  </w:footnote>
  <w:footnote w:id="10">
    <w:p w:rsidR="005A519C" w:rsidRPr="002A71AE" w:rsidRDefault="005A519C" w:rsidP="00577FAC">
      <w:pPr>
        <w:pStyle w:val="Textonotapie"/>
        <w:jc w:val="both"/>
        <w:rPr>
          <w:lang w:val="en-GB"/>
        </w:rPr>
      </w:pPr>
      <w:r>
        <w:rPr>
          <w:rStyle w:val="Refdenotaalpie"/>
        </w:rPr>
        <w:footnoteRef/>
      </w:r>
      <w:r w:rsidRPr="002A71AE">
        <w:rPr>
          <w:lang w:val="en-GB"/>
        </w:rPr>
        <w:t xml:space="preserve"> </w:t>
      </w:r>
      <w:r w:rsidRPr="002A71AE">
        <w:rPr>
          <w:i/>
          <w:iCs/>
          <w:lang w:val="en-GB"/>
        </w:rPr>
        <w:t>Ibíd.,</w:t>
      </w:r>
      <w:r w:rsidR="003A3A0C" w:rsidRPr="002A71AE">
        <w:rPr>
          <w:lang w:val="en-GB"/>
        </w:rPr>
        <w:t xml:space="preserve"> pp. </w:t>
      </w:r>
      <w:r w:rsidRPr="002A71AE">
        <w:rPr>
          <w:lang w:val="en-GB"/>
        </w:rPr>
        <w:t>16-17.</w:t>
      </w:r>
    </w:p>
  </w:footnote>
  <w:footnote w:id="11">
    <w:p w:rsidR="005A519C" w:rsidRDefault="005A519C" w:rsidP="00577FAC">
      <w:pPr>
        <w:pStyle w:val="Textonotapie"/>
        <w:jc w:val="both"/>
      </w:pPr>
      <w:r>
        <w:rPr>
          <w:rStyle w:val="Refdenotaalpie"/>
        </w:rPr>
        <w:footnoteRef/>
      </w:r>
      <w:r>
        <w:t xml:space="preserve"> Nuria Sánchez Madrid elabora, en el primer apartado de su estudio preliminar, un análisis detallado de las principales posiciones en lo referente a la satisfacción o insatisfacción de Kant con la </w:t>
      </w:r>
      <w:r>
        <w:rPr>
          <w:i/>
          <w:iCs/>
        </w:rPr>
        <w:t>Primera Intro-ducción</w:t>
      </w:r>
      <w:r>
        <w:t>, incluyendo cuestiones relativas al orden y claridad de las ideas, la longitud</w:t>
      </w:r>
      <w:r w:rsidR="003A3A0C">
        <w:t xml:space="preserve"> de la misma, etc.</w:t>
      </w:r>
    </w:p>
  </w:footnote>
  <w:footnote w:id="12">
    <w:p w:rsidR="005A519C" w:rsidRDefault="005A519C" w:rsidP="005A519C">
      <w:pPr>
        <w:pStyle w:val="Textonotapie"/>
        <w:jc w:val="both"/>
      </w:pPr>
      <w:r>
        <w:rPr>
          <w:rStyle w:val="Refdenotaalpie"/>
        </w:rPr>
        <w:footnoteRef/>
      </w:r>
      <w:r w:rsidR="003A3A0C">
        <w:t xml:space="preserve"> Cubo, Ó.,</w:t>
      </w:r>
      <w:r>
        <w:t xml:space="preserve"> </w:t>
      </w:r>
      <w:r>
        <w:rPr>
          <w:i/>
          <w:iCs/>
        </w:rPr>
        <w:t>Kant. Sentido común y subjetividad</w:t>
      </w:r>
      <w:r w:rsidR="003A3A0C">
        <w:t xml:space="preserve">, Madrid, Plaza y Valdés, 2012, p. </w:t>
      </w:r>
      <w:r>
        <w:t>59.</w:t>
      </w:r>
    </w:p>
  </w:footnote>
  <w:footnote w:id="13">
    <w:p w:rsidR="005A519C" w:rsidRPr="003A3A0C" w:rsidRDefault="005A519C" w:rsidP="005A519C">
      <w:pPr>
        <w:pStyle w:val="Textonotapie"/>
        <w:jc w:val="both"/>
      </w:pPr>
      <w:r>
        <w:rPr>
          <w:rStyle w:val="Refdenotaalpie"/>
        </w:rPr>
        <w:footnoteRef/>
      </w:r>
      <w:r>
        <w:t xml:space="preserve"> </w:t>
      </w:r>
      <w:r>
        <w:rPr>
          <w:i/>
          <w:iCs/>
        </w:rPr>
        <w:t>Cf</w:t>
      </w:r>
      <w:r>
        <w:t xml:space="preserve">. Kant, I., </w:t>
      </w:r>
      <w:r>
        <w:rPr>
          <w:i/>
          <w:iCs/>
        </w:rPr>
        <w:t>Principios metafísicos de la ciencia de la naturaleza</w:t>
      </w:r>
      <w:r w:rsidR="003A3A0C">
        <w:rPr>
          <w:iCs/>
        </w:rPr>
        <w:t>, Madrid, Alianza, 1989</w:t>
      </w:r>
      <w:r>
        <w:t xml:space="preserve"> &amp; Kant, I., </w:t>
      </w:r>
      <w:r>
        <w:rPr>
          <w:i/>
          <w:iCs/>
        </w:rPr>
        <w:t>Fundamentación de la metafísica de las costumbres</w:t>
      </w:r>
      <w:r w:rsidR="003A3A0C">
        <w:rPr>
          <w:iCs/>
        </w:rPr>
        <w:t>, Madrid, Alianza, 2002.</w:t>
      </w:r>
    </w:p>
  </w:footnote>
  <w:footnote w:id="14">
    <w:p w:rsidR="005A519C" w:rsidRDefault="005A519C" w:rsidP="005A519C">
      <w:pPr>
        <w:pStyle w:val="Textonotapie"/>
        <w:jc w:val="both"/>
      </w:pPr>
      <w:r>
        <w:rPr>
          <w:rStyle w:val="Refdenotaalpie"/>
        </w:rPr>
        <w:footnoteRef/>
      </w:r>
      <w:r>
        <w:t xml:space="preserve"> Kant, I., </w:t>
      </w:r>
      <w:r>
        <w:rPr>
          <w:i/>
          <w:iCs/>
        </w:rPr>
        <w:t>KrV</w:t>
      </w:r>
      <w:r>
        <w:t xml:space="preserve">, </w:t>
      </w:r>
      <w:r w:rsidR="003A3A0C">
        <w:t xml:space="preserve">trad. Pedro Ribas, B 35, </w:t>
      </w:r>
      <w:r>
        <w:t>Nota de Kan</w:t>
      </w:r>
      <w:r w:rsidR="003A3A0C">
        <w:t>t.</w:t>
      </w:r>
    </w:p>
  </w:footnote>
  <w:footnote w:id="15">
    <w:p w:rsidR="005A519C" w:rsidRDefault="005A519C" w:rsidP="002718AB">
      <w:pPr>
        <w:pStyle w:val="Textonotapie"/>
        <w:jc w:val="both"/>
      </w:pPr>
      <w:r>
        <w:rPr>
          <w:rStyle w:val="Refdenotaalpie"/>
        </w:rPr>
        <w:footnoteRef/>
      </w:r>
      <w:r w:rsidRPr="002A71AE">
        <w:t xml:space="preserve"> </w:t>
      </w:r>
      <w:r w:rsidRPr="002A71AE">
        <w:rPr>
          <w:i/>
          <w:iCs/>
        </w:rPr>
        <w:t>Cf</w:t>
      </w:r>
      <w:r w:rsidR="00157D66" w:rsidRPr="002A71AE">
        <w:t>. Kant, I.,</w:t>
      </w:r>
      <w:r w:rsidRPr="002A71AE">
        <w:t xml:space="preserve"> </w:t>
      </w:r>
      <w:r>
        <w:rPr>
          <w:i/>
          <w:iCs/>
        </w:rPr>
        <w:t>Primera Introducción a la Crítica del Juicio</w:t>
      </w:r>
      <w:r>
        <w:t xml:space="preserve">, </w:t>
      </w:r>
      <w:r w:rsidR="00157D66" w:rsidRPr="00157D66">
        <w:rPr>
          <w:i/>
        </w:rPr>
        <w:t>op. cit</w:t>
      </w:r>
      <w:r w:rsidR="00577FAC">
        <w:rPr>
          <w:i/>
        </w:rPr>
        <w:t>.</w:t>
      </w:r>
      <w:r w:rsidR="00157D66">
        <w:t>, § V.</w:t>
      </w:r>
    </w:p>
  </w:footnote>
  <w:footnote w:id="16">
    <w:p w:rsidR="005A519C" w:rsidRDefault="005A519C" w:rsidP="002718AB">
      <w:pPr>
        <w:pStyle w:val="Textonotapie"/>
        <w:jc w:val="both"/>
      </w:pPr>
      <w:r>
        <w:rPr>
          <w:rStyle w:val="Refdenotaalpie"/>
        </w:rPr>
        <w:footnoteRef/>
      </w:r>
      <w:r w:rsidR="00157D66">
        <w:t xml:space="preserve"> Rocco, V., &lt;&lt;</w:t>
      </w:r>
      <w:r>
        <w:t>El fondo irreductible de la</w:t>
      </w:r>
      <w:r w:rsidR="00157D66">
        <w:t xml:space="preserve"> lógica hegeliana&gt;&gt; en: Sgarbi, M.,</w:t>
      </w:r>
      <w:r>
        <w:t xml:space="preserve"> </w:t>
      </w:r>
      <w:r w:rsidR="00157D66">
        <w:rPr>
          <w:i/>
          <w:iCs/>
        </w:rPr>
        <w:t>op. cit</w:t>
      </w:r>
      <w:r w:rsidR="00577FAC">
        <w:rPr>
          <w:i/>
          <w:iCs/>
        </w:rPr>
        <w:t>.</w:t>
      </w:r>
      <w:r w:rsidR="00157D66">
        <w:t>,</w:t>
      </w:r>
      <w:r w:rsidR="00114478">
        <w:t xml:space="preserve"> 2011,</w:t>
      </w:r>
      <w:r w:rsidR="00157D66">
        <w:t xml:space="preserve"> p. </w:t>
      </w:r>
      <w:r>
        <w:t>191.</w:t>
      </w:r>
    </w:p>
  </w:footnote>
  <w:footnote w:id="17">
    <w:p w:rsidR="007B3D23" w:rsidRDefault="007B3D23" w:rsidP="002718AB">
      <w:pPr>
        <w:pStyle w:val="Textonotapie"/>
        <w:jc w:val="both"/>
      </w:pPr>
      <w:r>
        <w:rPr>
          <w:rStyle w:val="Refdenotaalpie"/>
        </w:rPr>
        <w:footnoteRef/>
      </w:r>
      <w:r>
        <w:t xml:space="preserve"> El propio Marco Sgarbi publicó una investigación sobre este concepto en la filosofía </w:t>
      </w:r>
      <w:r w:rsidR="002718AB">
        <w:t>de Kant</w:t>
      </w:r>
      <w:r>
        <w:t xml:space="preserve">: Sgarbi, M., </w:t>
      </w:r>
      <w:r w:rsidRPr="002718AB">
        <w:rPr>
          <w:i/>
        </w:rPr>
        <w:t>On spontaneity</w:t>
      </w:r>
      <w:r>
        <w:t>, London</w:t>
      </w:r>
      <w:r w:rsidR="002718AB">
        <w:t>, Bloombsbury, 2012.</w:t>
      </w:r>
    </w:p>
  </w:footnote>
  <w:footnote w:id="18">
    <w:p w:rsidR="006F47DE" w:rsidRDefault="006F47DE" w:rsidP="006F47DE">
      <w:pPr>
        <w:pStyle w:val="Textonotapie"/>
        <w:jc w:val="both"/>
      </w:pPr>
      <w:r>
        <w:rPr>
          <w:rStyle w:val="Refdenotaalpie"/>
        </w:rPr>
        <w:footnoteRef/>
      </w:r>
      <w:r w:rsidRPr="002A71AE">
        <w:t xml:space="preserve"> Kant define la </w:t>
      </w:r>
      <w:r w:rsidRPr="002A71AE">
        <w:rPr>
          <w:i/>
        </w:rPr>
        <w:t>finalidad formal de la naturaleza</w:t>
      </w:r>
      <w:r w:rsidRPr="002A71AE">
        <w:t xml:space="preserve"> como sigue: </w:t>
      </w:r>
      <w:r w:rsidRPr="006F47DE">
        <w:t>“mediante este concepto</w:t>
      </w:r>
      <w:r>
        <w:t xml:space="preserve"> la naturaleza se representa co</w:t>
      </w:r>
      <w:r w:rsidRPr="006F47DE">
        <w:t>mo si un entendimiento albergara el fundamento de la un</w:t>
      </w:r>
      <w:r>
        <w:t>idad de la diversidad de sus le</w:t>
      </w:r>
      <w:r w:rsidRPr="006F47DE">
        <w:t xml:space="preserve">yes empíricas. Así pues, la finalidad de la naturaleza es un peculiar concepto </w:t>
      </w:r>
      <w:r w:rsidRPr="006F47DE">
        <w:rPr>
          <w:i/>
          <w:iCs/>
        </w:rPr>
        <w:t>a priori</w:t>
      </w:r>
      <w:r w:rsidRPr="006F47DE">
        <w:t xml:space="preserve"> que tiene su origen exclusivamente en el discernimiento reflexionante. Pues a los productos naturales no se les puede atribuir algo así como una relación para con ellos sustentada en fines, sino que este concepto sólo puede utilizarse para reflexionar sobre la naturaleza con respecto al enlace de los fenómenos dentro de ella”</w:t>
      </w:r>
      <w:r w:rsidRPr="002A71AE">
        <w:t xml:space="preserve"> (Kant, I., </w:t>
      </w:r>
      <w:r w:rsidRPr="002A71AE">
        <w:rPr>
          <w:i/>
          <w:iCs/>
        </w:rPr>
        <w:t>KU</w:t>
      </w:r>
      <w:r w:rsidRPr="002A71AE">
        <w:t xml:space="preserve">, Ak. </w:t>
      </w:r>
      <w:r>
        <w:t>V 181)</w:t>
      </w:r>
    </w:p>
  </w:footnote>
  <w:footnote w:id="19">
    <w:p w:rsidR="005A519C" w:rsidRDefault="005A519C" w:rsidP="005A519C">
      <w:pPr>
        <w:pStyle w:val="Textonotapie"/>
        <w:jc w:val="both"/>
      </w:pPr>
      <w:r>
        <w:rPr>
          <w:rStyle w:val="Refdenotaalpie"/>
        </w:rPr>
        <w:footnoteRef/>
      </w:r>
      <w:r>
        <w:t xml:space="preserve"> “¿Habría podido Linneo confiar en el esbozo de un sistema de la naturaleza, en caso de haber tenido que preocuparse, al encontrar una piedra que llamó granito, de si esta pudi</w:t>
      </w:r>
      <w:r w:rsidR="00577FAC">
        <w:t>era diferenciarse por su consti</w:t>
      </w:r>
      <w:r>
        <w:t>tución interna de cualquier otra que también lo pareciera, pudiendo confia</w:t>
      </w:r>
      <w:r w:rsidR="00577FAC">
        <w:t>r sólo en encontrar cosas singu</w:t>
      </w:r>
      <w:r>
        <w:t>lares para el entendimiento, por así decir aisladas, nunca una clase de las mismas que pudiera ser llevada bajo conceptos singulares y específicos</w:t>
      </w:r>
      <w:r w:rsidR="002718AB">
        <w:t>?” (Nota de Kant: Kant, I</w:t>
      </w:r>
      <w:r w:rsidR="002718AB" w:rsidRPr="002718AB">
        <w:rPr>
          <w:i/>
        </w:rPr>
        <w:t>.</w:t>
      </w:r>
      <w:r w:rsidRPr="002718AB">
        <w:rPr>
          <w:i/>
        </w:rPr>
        <w:t>,</w:t>
      </w:r>
      <w:r w:rsidR="002718AB" w:rsidRPr="002718AB">
        <w:rPr>
          <w:i/>
        </w:rPr>
        <w:t xml:space="preserve"> op. cit</w:t>
      </w:r>
      <w:r w:rsidR="002718AB">
        <w:t>., 2011, § V</w:t>
      </w:r>
      <w:r w:rsidR="006F47DE">
        <w:t>)</w:t>
      </w:r>
      <w:r w:rsidR="002718AB">
        <w:t>.</w:t>
      </w:r>
    </w:p>
  </w:footnote>
  <w:footnote w:id="20">
    <w:p w:rsidR="005A519C" w:rsidRDefault="005A519C" w:rsidP="005A519C">
      <w:pPr>
        <w:pStyle w:val="Textonotapie"/>
        <w:jc w:val="both"/>
      </w:pPr>
      <w:r>
        <w:rPr>
          <w:rStyle w:val="Refdenotaalpie"/>
        </w:rPr>
        <w:footnoteRef/>
      </w:r>
      <w:r>
        <w:t xml:space="preserve"> Cubo, Ó.</w:t>
      </w:r>
      <w:r w:rsidR="00E172B1">
        <w:t>,</w:t>
      </w:r>
      <w:r>
        <w:rPr>
          <w:i/>
          <w:iCs/>
        </w:rPr>
        <w:t xml:space="preserve"> op. cit</w:t>
      </w:r>
      <w:r w:rsidR="002718AB">
        <w:t xml:space="preserve">., p. </w:t>
      </w:r>
      <w:r>
        <w:t>103.</w:t>
      </w:r>
    </w:p>
  </w:footnote>
  <w:footnote w:id="21">
    <w:p w:rsidR="005A519C" w:rsidRDefault="005A519C" w:rsidP="005A519C">
      <w:pPr>
        <w:pStyle w:val="Textonotapie"/>
        <w:jc w:val="both"/>
      </w:pPr>
      <w:r>
        <w:rPr>
          <w:rStyle w:val="Refdenotaalpie"/>
        </w:rPr>
        <w:footnoteRef/>
      </w:r>
      <w:r>
        <w:t xml:space="preserve"> Sgarbi, M.</w:t>
      </w:r>
      <w:r w:rsidR="00E172B1">
        <w:t>,</w:t>
      </w:r>
      <w:r>
        <w:t xml:space="preserve"> </w:t>
      </w:r>
      <w:r>
        <w:rPr>
          <w:i/>
          <w:iCs/>
        </w:rPr>
        <w:t>op. cit</w:t>
      </w:r>
      <w:r w:rsidR="002718AB">
        <w:t xml:space="preserve">., 2011, p. </w:t>
      </w:r>
      <w:r>
        <w:t>157.</w:t>
      </w:r>
    </w:p>
  </w:footnote>
  <w:footnote w:id="22">
    <w:p w:rsidR="005A519C" w:rsidRDefault="005A519C" w:rsidP="005A519C">
      <w:pPr>
        <w:pStyle w:val="Textonotapie"/>
        <w:jc w:val="both"/>
      </w:pPr>
      <w:r>
        <w:rPr>
          <w:rStyle w:val="Refdenotaalpie"/>
        </w:rPr>
        <w:footnoteRef/>
      </w:r>
      <w:r>
        <w:t xml:space="preserve"> Sánchez, N.</w:t>
      </w:r>
      <w:r w:rsidR="00E172B1">
        <w:t>,</w:t>
      </w:r>
      <w:r>
        <w:t xml:space="preserve"> </w:t>
      </w:r>
      <w:r>
        <w:rPr>
          <w:i/>
          <w:iCs/>
        </w:rPr>
        <w:t>op. cit</w:t>
      </w:r>
      <w:r w:rsidR="00577FAC">
        <w:t xml:space="preserve">., p. </w:t>
      </w:r>
      <w:r>
        <w:t>66.</w:t>
      </w:r>
    </w:p>
  </w:footnote>
  <w:footnote w:id="23">
    <w:p w:rsidR="005A519C" w:rsidRDefault="005A519C" w:rsidP="005A519C">
      <w:pPr>
        <w:pStyle w:val="Textonotapie"/>
        <w:jc w:val="both"/>
      </w:pPr>
      <w:r>
        <w:rPr>
          <w:rStyle w:val="Refdenotaalpie"/>
        </w:rPr>
        <w:footnoteRef/>
      </w:r>
      <w:r>
        <w:t xml:space="preserve"> “Los hombres –ahora y desde el principio- comenzaron a filosofar al quedarse maravillados ante algo, maravillándose en un primer momento de lo que causa extrañeza y después, al progresar poco a poco, sin-tiéndose perplejos ante cosas de mayor importancia, por ejemplo, ante las peculiaridades de la luna, las del sol y los astros, y ante el origen del Todo”. (Aristóteles, </w:t>
      </w:r>
      <w:r>
        <w:rPr>
          <w:i/>
          <w:iCs/>
        </w:rPr>
        <w:t>Metafísica</w:t>
      </w:r>
      <w:r>
        <w:t xml:space="preserve">, </w:t>
      </w:r>
      <w:r w:rsidR="00577FAC">
        <w:t xml:space="preserve">trad. Tomás Calvo, Madrid, Gredos, 2011, 982b 12 y </w:t>
      </w:r>
      <w:r w:rsidR="00F2287E">
        <w:t>siguientes</w:t>
      </w:r>
      <w:r>
        <w:rPr>
          <w:spacing w:val="-2"/>
        </w:rPr>
        <w:t>).</w:t>
      </w:r>
    </w:p>
  </w:footnote>
  <w:footnote w:id="24">
    <w:p w:rsidR="005A519C" w:rsidRDefault="005A519C" w:rsidP="005A519C">
      <w:pPr>
        <w:pStyle w:val="Textonotapie"/>
        <w:jc w:val="both"/>
      </w:pPr>
      <w:r>
        <w:rPr>
          <w:rStyle w:val="Refdenotaalpie"/>
        </w:rPr>
        <w:footnoteRef/>
      </w:r>
      <w:r>
        <w:t xml:space="preserve"> Sgarbi, M.</w:t>
      </w:r>
      <w:r w:rsidR="00E172B1">
        <w:t>,</w:t>
      </w:r>
      <w:r>
        <w:t xml:space="preserve"> </w:t>
      </w:r>
      <w:r>
        <w:rPr>
          <w:i/>
          <w:iCs/>
        </w:rPr>
        <w:t>op. cit</w:t>
      </w:r>
      <w:r>
        <w:t>.,</w:t>
      </w:r>
      <w:r w:rsidR="00577FAC">
        <w:t xml:space="preserve"> 2011, p. </w:t>
      </w:r>
      <w:r>
        <w:t>124.</w:t>
      </w:r>
    </w:p>
  </w:footnote>
  <w:footnote w:id="25">
    <w:p w:rsidR="005A519C" w:rsidRPr="002A71AE" w:rsidRDefault="005A519C" w:rsidP="005A519C">
      <w:pPr>
        <w:pStyle w:val="Textonotapie"/>
        <w:jc w:val="both"/>
      </w:pPr>
      <w:r>
        <w:rPr>
          <w:rStyle w:val="Refdenotaalpie"/>
        </w:rPr>
        <w:footnoteRef/>
      </w:r>
      <w:r w:rsidRPr="002A71AE">
        <w:t xml:space="preserve"> </w:t>
      </w:r>
      <w:r w:rsidRPr="002A71AE">
        <w:rPr>
          <w:i/>
          <w:iCs/>
        </w:rPr>
        <w:t>Íbid</w:t>
      </w:r>
      <w:r w:rsidR="00577FAC" w:rsidRPr="002A71AE">
        <w:t xml:space="preserve">., p. </w:t>
      </w:r>
      <w:r w:rsidRPr="002A71AE">
        <w:t>128.</w:t>
      </w:r>
    </w:p>
  </w:footnote>
  <w:footnote w:id="26">
    <w:p w:rsidR="005A519C" w:rsidRPr="00985E29" w:rsidRDefault="005A519C" w:rsidP="001A2B4C">
      <w:pPr>
        <w:pStyle w:val="Textonotapie"/>
        <w:jc w:val="both"/>
        <w:rPr>
          <w:lang w:val="en-GB"/>
        </w:rPr>
      </w:pPr>
      <w:r>
        <w:rPr>
          <w:rStyle w:val="Refdenotaalpie"/>
        </w:rPr>
        <w:footnoteRef/>
      </w:r>
      <w:r w:rsidRPr="002A71AE">
        <w:t xml:space="preserve"> </w:t>
      </w:r>
      <w:r w:rsidR="00985E29" w:rsidRPr="00985E29">
        <w:t xml:space="preserve">“Para </w:t>
      </w:r>
      <w:r w:rsidR="00985E29" w:rsidRPr="00985E29">
        <w:rPr>
          <w:spacing w:val="-2"/>
        </w:rPr>
        <w:t xml:space="preserve">hacer de juez en cuestiones de gusto no hay </w:t>
      </w:r>
      <w:r w:rsidR="00985E29" w:rsidRPr="00985E29">
        <w:t>que preocuparse en modo alguno por la existencia de la cosa, sino ser totalmente indiferente a este respecto”</w:t>
      </w:r>
      <w:r w:rsidR="00985E29" w:rsidRPr="00985E29">
        <w:rPr>
          <w:vertAlign w:val="superscript"/>
        </w:rPr>
        <w:footnoteRef/>
      </w:r>
      <w:r w:rsidR="00985E29" w:rsidRPr="00985E29">
        <w:t xml:space="preserve">. </w:t>
      </w:r>
      <w:r w:rsidRPr="00985E29">
        <w:rPr>
          <w:lang w:val="en-GB"/>
        </w:rPr>
        <w:t xml:space="preserve">Kant, I. </w:t>
      </w:r>
      <w:r w:rsidRPr="00985E29">
        <w:rPr>
          <w:i/>
          <w:iCs/>
          <w:lang w:val="en-GB"/>
        </w:rPr>
        <w:t>KU</w:t>
      </w:r>
      <w:r w:rsidR="00AF680A">
        <w:rPr>
          <w:lang w:val="en-GB"/>
        </w:rPr>
        <w:t>, Ak, V, 205</w:t>
      </w:r>
      <w:r w:rsidR="00AF680A" w:rsidRPr="00AF680A">
        <w:rPr>
          <w:i/>
          <w:lang w:val="en-GB"/>
        </w:rPr>
        <w:t>, op. cit.</w:t>
      </w:r>
      <w:r w:rsidR="00AF680A">
        <w:rPr>
          <w:lang w:val="en-GB"/>
        </w:rPr>
        <w:t>, p. 153.</w:t>
      </w:r>
    </w:p>
  </w:footnote>
  <w:footnote w:id="27">
    <w:p w:rsidR="005A519C" w:rsidRDefault="005A519C" w:rsidP="001A2B4C">
      <w:pPr>
        <w:pStyle w:val="Textonotapie"/>
        <w:jc w:val="both"/>
        <w:rPr>
          <w:lang w:val="en-GB"/>
        </w:rPr>
      </w:pPr>
      <w:r>
        <w:rPr>
          <w:rStyle w:val="Refdenotaalpie"/>
        </w:rPr>
        <w:footnoteRef/>
      </w:r>
      <w:r>
        <w:rPr>
          <w:lang w:val="en-GB"/>
        </w:rPr>
        <w:t xml:space="preserve"> </w:t>
      </w:r>
      <w:r>
        <w:rPr>
          <w:i/>
          <w:iCs/>
          <w:lang w:val="en-GB"/>
        </w:rPr>
        <w:t>Cf</w:t>
      </w:r>
      <w:r>
        <w:rPr>
          <w:lang w:val="en-GB"/>
        </w:rPr>
        <w:t>. Sánchez, N.</w:t>
      </w:r>
      <w:r w:rsidR="00E172B1">
        <w:rPr>
          <w:lang w:val="en-GB"/>
        </w:rPr>
        <w:t>,</w:t>
      </w:r>
      <w:r>
        <w:rPr>
          <w:lang w:val="en-GB"/>
        </w:rPr>
        <w:t xml:space="preserve"> </w:t>
      </w:r>
      <w:r>
        <w:rPr>
          <w:i/>
          <w:iCs/>
          <w:lang w:val="en-GB"/>
        </w:rPr>
        <w:t>op. cit</w:t>
      </w:r>
      <w:r w:rsidR="00DF3030">
        <w:rPr>
          <w:lang w:val="en-GB"/>
        </w:rPr>
        <w:t xml:space="preserve">., pp. </w:t>
      </w:r>
      <w:r>
        <w:rPr>
          <w:lang w:val="en-GB"/>
        </w:rPr>
        <w:t>38-39.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63851"/>
    <w:multiLevelType w:val="hybridMultilevel"/>
    <w:tmpl w:val="4D9E3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737849"/>
    <w:multiLevelType w:val="hybridMultilevel"/>
    <w:tmpl w:val="F8CA2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9C"/>
    <w:rsid w:val="00041524"/>
    <w:rsid w:val="00044184"/>
    <w:rsid w:val="000572B2"/>
    <w:rsid w:val="000D225A"/>
    <w:rsid w:val="00114478"/>
    <w:rsid w:val="001173B1"/>
    <w:rsid w:val="001256E5"/>
    <w:rsid w:val="00134597"/>
    <w:rsid w:val="00157D66"/>
    <w:rsid w:val="001A2B4C"/>
    <w:rsid w:val="002718AB"/>
    <w:rsid w:val="002A71AE"/>
    <w:rsid w:val="002C5707"/>
    <w:rsid w:val="003A3A0C"/>
    <w:rsid w:val="003E1F8F"/>
    <w:rsid w:val="003E3760"/>
    <w:rsid w:val="003F008A"/>
    <w:rsid w:val="0042662D"/>
    <w:rsid w:val="004518F9"/>
    <w:rsid w:val="00465284"/>
    <w:rsid w:val="004669B2"/>
    <w:rsid w:val="00490DB4"/>
    <w:rsid w:val="00577FAC"/>
    <w:rsid w:val="005A21EC"/>
    <w:rsid w:val="005A519C"/>
    <w:rsid w:val="005C2EE5"/>
    <w:rsid w:val="005C3557"/>
    <w:rsid w:val="006021B6"/>
    <w:rsid w:val="00612BA5"/>
    <w:rsid w:val="00680A13"/>
    <w:rsid w:val="006F12AA"/>
    <w:rsid w:val="006F47DE"/>
    <w:rsid w:val="00701AB3"/>
    <w:rsid w:val="00727CBC"/>
    <w:rsid w:val="007B3D23"/>
    <w:rsid w:val="007C660E"/>
    <w:rsid w:val="00810518"/>
    <w:rsid w:val="00884190"/>
    <w:rsid w:val="008B6D97"/>
    <w:rsid w:val="00985E29"/>
    <w:rsid w:val="009927CF"/>
    <w:rsid w:val="009D01EE"/>
    <w:rsid w:val="009D1052"/>
    <w:rsid w:val="009E77E8"/>
    <w:rsid w:val="009F1902"/>
    <w:rsid w:val="00A073DD"/>
    <w:rsid w:val="00A41956"/>
    <w:rsid w:val="00A70694"/>
    <w:rsid w:val="00A95A09"/>
    <w:rsid w:val="00AC59F5"/>
    <w:rsid w:val="00AE15FA"/>
    <w:rsid w:val="00AF680A"/>
    <w:rsid w:val="00B114AA"/>
    <w:rsid w:val="00B35E52"/>
    <w:rsid w:val="00B53CFD"/>
    <w:rsid w:val="00C93ACA"/>
    <w:rsid w:val="00CF3E12"/>
    <w:rsid w:val="00D54849"/>
    <w:rsid w:val="00D71E26"/>
    <w:rsid w:val="00DC46D6"/>
    <w:rsid w:val="00DF3030"/>
    <w:rsid w:val="00E172B1"/>
    <w:rsid w:val="00E94496"/>
    <w:rsid w:val="00EE0A86"/>
    <w:rsid w:val="00EF2FA6"/>
    <w:rsid w:val="00F13F34"/>
    <w:rsid w:val="00F22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79983-8556-4936-AF5A-E59CA248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5A519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A519C"/>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5A519C"/>
    <w:rPr>
      <w:vertAlign w:val="superscript"/>
    </w:rPr>
  </w:style>
  <w:style w:type="paragraph" w:styleId="Encabezado">
    <w:name w:val="header"/>
    <w:basedOn w:val="Normal"/>
    <w:link w:val="EncabezadoCar"/>
    <w:uiPriority w:val="99"/>
    <w:unhideWhenUsed/>
    <w:rsid w:val="005A5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19C"/>
  </w:style>
  <w:style w:type="paragraph" w:styleId="Piedepgina">
    <w:name w:val="footer"/>
    <w:basedOn w:val="Normal"/>
    <w:link w:val="PiedepginaCar"/>
    <w:uiPriority w:val="99"/>
    <w:unhideWhenUsed/>
    <w:rsid w:val="005A5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19C"/>
  </w:style>
  <w:style w:type="paragraph" w:styleId="Prrafodelista">
    <w:name w:val="List Paragraph"/>
    <w:basedOn w:val="Normal"/>
    <w:uiPriority w:val="34"/>
    <w:qFormat/>
    <w:rsid w:val="0072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F149-87CE-470E-8F06-4E39D1C4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3979</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Aranda Utrero</dc:creator>
  <cp:keywords/>
  <dc:description/>
  <cp:lastModifiedBy>Víctor Aranda Utrero</cp:lastModifiedBy>
  <cp:revision>42</cp:revision>
  <dcterms:created xsi:type="dcterms:W3CDTF">2014-09-25T16:59:00Z</dcterms:created>
  <dcterms:modified xsi:type="dcterms:W3CDTF">2014-10-13T08:11:00Z</dcterms:modified>
</cp:coreProperties>
</file>